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8064D" w14:textId="2EA4B5AA" w:rsidR="00EF5071" w:rsidRPr="00777A8E" w:rsidRDefault="00353CF2" w:rsidP="00777A8E">
      <w:pPr>
        <w:jc w:val="center"/>
        <w:rPr>
          <w:b/>
          <w:color w:val="3787C3"/>
          <w:sz w:val="48"/>
        </w:rPr>
      </w:pPr>
      <w:r w:rsidRPr="003B5DE5">
        <w:rPr>
          <w:noProof/>
          <w:color w:val="3787C3"/>
        </w:rPr>
        <mc:AlternateContent>
          <mc:Choice Requires="wps">
            <w:drawing>
              <wp:anchor distT="0" distB="0" distL="114300" distR="114300" simplePos="0" relativeHeight="251659264" behindDoc="1" locked="0" layoutInCell="1" allowOverlap="1" wp14:anchorId="1B66BEF6" wp14:editId="0B22F5A4">
                <wp:simplePos x="0" y="0"/>
                <wp:positionH relativeFrom="margin">
                  <wp:align>left</wp:align>
                </wp:positionH>
                <wp:positionV relativeFrom="paragraph">
                  <wp:posOffset>-114300</wp:posOffset>
                </wp:positionV>
                <wp:extent cx="6973570" cy="1158240"/>
                <wp:effectExtent l="0" t="0" r="17780" b="228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11582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F721C5" id="_x0000_t202" coordsize="21600,21600" o:spt="202" path="m,l,21600r21600,l21600,xe">
                <v:stroke joinstyle="miter"/>
                <v:path gradientshapeok="t" o:connecttype="rect"/>
              </v:shapetype>
              <v:shape id="Text Box 52" o:spid="_x0000_s1026" type="#_x0000_t202" style="position:absolute;margin-left:0;margin-top:-9pt;width:549.1pt;height:91.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" filled="f" strokeweight="1pt">
                <v:textbox inset="0,0,0,0"/>
                <w10:wrap anchorx="margin"/>
              </v:shape>
            </w:pict>
          </mc:Fallback>
        </mc:AlternateContent>
      </w:r>
      <w:r w:rsidRPr="003B5DE5">
        <w:rPr>
          <w:noProof/>
          <w:color w:val="3787C3"/>
        </w:rPr>
        <w:drawing>
          <wp:anchor distT="0" distB="0" distL="114300" distR="114300" simplePos="0" relativeHeight="251660288" behindDoc="1" locked="0" layoutInCell="1" allowOverlap="1" wp14:anchorId="6255597B" wp14:editId="7F569D85">
            <wp:simplePos x="0" y="0"/>
            <wp:positionH relativeFrom="column">
              <wp:posOffset>212725</wp:posOffset>
            </wp:positionH>
            <wp:positionV relativeFrom="paragraph">
              <wp:posOffset>-177</wp:posOffset>
            </wp:positionV>
            <wp:extent cx="1321435" cy="627380"/>
            <wp:effectExtent l="0" t="0" r="0" b="762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wdb logo (1).gif"/>
                    <pic:cNvPicPr/>
                  </pic:nvPicPr>
                  <pic:blipFill>
                    <a:blip r:embed="rId8">
                      <a:extLst>
                        <a:ext uri="{28A0092B-C50C-407E-A947-70E740481C1C}">
                          <a14:useLocalDpi xmlns:a14="http://schemas.microsoft.com/office/drawing/2010/main" val="0"/>
                        </a:ext>
                      </a:extLst>
                    </a:blip>
                    <a:stretch>
                      <a:fillRect/>
                    </a:stretch>
                  </pic:blipFill>
                  <pic:spPr>
                    <a:xfrm>
                      <a:off x="0" y="0"/>
                      <a:ext cx="1321435" cy="627380"/>
                    </a:xfrm>
                    <a:prstGeom prst="rect">
                      <a:avLst/>
                    </a:prstGeom>
                  </pic:spPr>
                </pic:pic>
              </a:graphicData>
            </a:graphic>
            <wp14:sizeRelH relativeFrom="page">
              <wp14:pctWidth>0</wp14:pctWidth>
            </wp14:sizeRelH>
            <wp14:sizeRelV relativeFrom="page">
              <wp14:pctHeight>0</wp14:pctHeight>
            </wp14:sizeRelV>
          </wp:anchor>
        </w:drawing>
      </w:r>
      <w:r w:rsidRPr="003B5DE5">
        <w:rPr>
          <w:noProof/>
          <w:color w:val="3787C3"/>
          <w:sz w:val="17"/>
        </w:rPr>
        <w:drawing>
          <wp:anchor distT="0" distB="0" distL="114300" distR="114300" simplePos="0" relativeHeight="251661312" behindDoc="1" locked="0" layoutInCell="1" allowOverlap="1" wp14:anchorId="38E5EF5A" wp14:editId="681C293C">
            <wp:simplePos x="0" y="0"/>
            <wp:positionH relativeFrom="column">
              <wp:posOffset>5438229</wp:posOffset>
            </wp:positionH>
            <wp:positionV relativeFrom="paragraph">
              <wp:posOffset>0</wp:posOffset>
            </wp:positionV>
            <wp:extent cx="1541780" cy="68834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mericasJobLogo_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1541780" cy="688340"/>
                    </a:xfrm>
                    <a:prstGeom prst="rect">
                      <a:avLst/>
                    </a:prstGeom>
                  </pic:spPr>
                </pic:pic>
              </a:graphicData>
            </a:graphic>
            <wp14:sizeRelH relativeFrom="page">
              <wp14:pctWidth>0</wp14:pctWidth>
            </wp14:sizeRelH>
            <wp14:sizeRelV relativeFrom="page">
              <wp14:pctHeight>0</wp14:pctHeight>
            </wp14:sizeRelV>
          </wp:anchor>
        </w:drawing>
      </w:r>
      <w:r w:rsidR="00777A8E">
        <w:rPr>
          <w:b/>
          <w:color w:val="3787C3"/>
          <w:sz w:val="48"/>
        </w:rPr>
        <w:t xml:space="preserve">D </w:t>
      </w:r>
      <w:r w:rsidR="00944A4A">
        <w:rPr>
          <w:b/>
          <w:color w:val="3787C3"/>
          <w:sz w:val="48"/>
        </w:rPr>
        <w:t>I</w:t>
      </w:r>
      <w:r w:rsidR="00777A8E">
        <w:rPr>
          <w:b/>
          <w:color w:val="3787C3"/>
          <w:sz w:val="48"/>
        </w:rPr>
        <w:t xml:space="preserve"> R E C T I V E</w:t>
      </w:r>
    </w:p>
    <w:p w14:paraId="49E68F57" w14:textId="34AA707B" w:rsidR="00EF5071" w:rsidRDefault="00944A4A" w:rsidP="00CF5551">
      <w:pPr>
        <w:tabs>
          <w:tab w:val="left" w:pos="1872"/>
        </w:tabs>
        <w:spacing w:before="87"/>
        <w:rPr>
          <w:sz w:val="17"/>
        </w:rPr>
      </w:pPr>
      <w:bookmarkStart w:id="0" w:name="_Hlk505857768"/>
      <w:bookmarkEnd w:id="0"/>
      <w:r>
        <w:rPr>
          <w:noProof/>
        </w:rPr>
        <mc:AlternateContent>
          <mc:Choice Requires="wps">
            <w:drawing>
              <wp:anchor distT="0" distB="0" distL="114300" distR="114300" simplePos="0" relativeHeight="251665408" behindDoc="0" locked="0" layoutInCell="1" allowOverlap="1" wp14:anchorId="07346A7B" wp14:editId="59E95041">
                <wp:simplePos x="0" y="0"/>
                <wp:positionH relativeFrom="margin">
                  <wp:align>center</wp:align>
                </wp:positionH>
                <wp:positionV relativeFrom="paragraph">
                  <wp:posOffset>63500</wp:posOffset>
                </wp:positionV>
                <wp:extent cx="1691640" cy="403860"/>
                <wp:effectExtent l="0" t="0" r="0" b="0"/>
                <wp:wrapNone/>
                <wp:docPr id="20" name="Rectangle 20"/>
                <wp:cNvGraphicFramePr/>
                <a:graphic xmlns:a="http://schemas.openxmlformats.org/drawingml/2006/main">
                  <a:graphicData uri="http://schemas.microsoft.com/office/word/2010/wordprocessingShape">
                    <wps:wsp>
                      <wps:cNvSpPr/>
                      <wps:spPr>
                        <a:xfrm>
                          <a:off x="0" y="0"/>
                          <a:ext cx="1691640" cy="403860"/>
                        </a:xfrm>
                        <a:prstGeom prst="rect">
                          <a:avLst/>
                        </a:prstGeom>
                        <a:ln>
                          <a:noFill/>
                        </a:ln>
                      </wps:spPr>
                      <wps:txbx>
                        <w:txbxContent>
                          <w:p w14:paraId="1774F805" w14:textId="4B67AE44" w:rsidR="0048043F" w:rsidRDefault="0010101F" w:rsidP="00CC2C32">
                            <w:pPr>
                              <w:jc w:val="center"/>
                              <w:rPr>
                                <w:b/>
                                <w:sz w:val="17"/>
                              </w:rPr>
                            </w:pPr>
                            <w:r>
                              <w:rPr>
                                <w:b/>
                                <w:sz w:val="17"/>
                              </w:rPr>
                              <w:t>Effective Date</w:t>
                            </w:r>
                            <w:r w:rsidR="0048043F">
                              <w:rPr>
                                <w:b/>
                                <w:sz w:val="17"/>
                              </w:rPr>
                              <w:t xml:space="preserve">: </w:t>
                            </w:r>
                            <w:r w:rsidR="003A3BE5">
                              <w:rPr>
                                <w:b/>
                                <w:sz w:val="17"/>
                              </w:rPr>
                              <w:t>January 31, 2019</w:t>
                            </w:r>
                          </w:p>
                          <w:p w14:paraId="6743F1F5" w14:textId="6A3FE256" w:rsidR="00CC2C32" w:rsidRDefault="00CC2C32" w:rsidP="00CC2C32">
                            <w:pPr>
                              <w:jc w:val="center"/>
                              <w:rPr>
                                <w:b/>
                                <w:sz w:val="17"/>
                              </w:rPr>
                            </w:pPr>
                            <w:r>
                              <w:rPr>
                                <w:b/>
                                <w:sz w:val="17"/>
                              </w:rPr>
                              <w:t>Supersedes WDB Policy: #201</w:t>
                            </w:r>
                            <w:r w:rsidR="003A3BE5">
                              <w:rPr>
                                <w:b/>
                                <w:sz w:val="17"/>
                              </w:rPr>
                              <w:t>2-03</w:t>
                            </w:r>
                          </w:p>
                          <w:p w14:paraId="58376F03" w14:textId="77777777" w:rsidR="00CC2C32" w:rsidRDefault="00CC2C32" w:rsidP="00CC2C32"/>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7346A7B" id="Rectangle 20" o:spid="_x0000_s1026" style="position:absolute;margin-left:0;margin-top:5pt;width:133.2pt;height:31.8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" filled="f" stroked="f">
                <v:textbox inset="0,0,0,0">
                  <w:txbxContent>
                    <w:p w14:paraId="1774F805" w14:textId="4B67AE44" w:rsidR="0048043F" w:rsidRDefault="0010101F" w:rsidP="00CC2C32">
                      <w:pPr>
                        <w:jc w:val="center"/>
                        <w:rPr>
                          <w:b/>
                          <w:sz w:val="17"/>
                        </w:rPr>
                      </w:pPr>
                      <w:r>
                        <w:rPr>
                          <w:b/>
                          <w:sz w:val="17"/>
                        </w:rPr>
                        <w:t>Effective Date</w:t>
                      </w:r>
                      <w:r w:rsidR="0048043F">
                        <w:rPr>
                          <w:b/>
                          <w:sz w:val="17"/>
                        </w:rPr>
                        <w:t xml:space="preserve">: </w:t>
                      </w:r>
                      <w:r w:rsidR="003A3BE5">
                        <w:rPr>
                          <w:b/>
                          <w:sz w:val="17"/>
                        </w:rPr>
                        <w:t>January 31, 2019</w:t>
                      </w:r>
                    </w:p>
                    <w:p w14:paraId="6743F1F5" w14:textId="6A3FE256" w:rsidR="00CC2C32" w:rsidRDefault="00CC2C32" w:rsidP="00CC2C32">
                      <w:pPr>
                        <w:jc w:val="center"/>
                        <w:rPr>
                          <w:b/>
                          <w:sz w:val="17"/>
                        </w:rPr>
                      </w:pPr>
                      <w:r>
                        <w:rPr>
                          <w:b/>
                          <w:sz w:val="17"/>
                        </w:rPr>
                        <w:t>Supersedes WDB Policy: #201</w:t>
                      </w:r>
                      <w:r w:rsidR="003A3BE5">
                        <w:rPr>
                          <w:b/>
                          <w:sz w:val="17"/>
                        </w:rPr>
                        <w:t>2-03</w:t>
                      </w:r>
                    </w:p>
                    <w:p w14:paraId="58376F03" w14:textId="77777777" w:rsidR="00CC2C32" w:rsidRDefault="00CC2C32" w:rsidP="00CC2C32"/>
                  </w:txbxContent>
                </v:textbox>
                <w10:wrap anchorx="margin"/>
              </v:rect>
            </w:pict>
          </mc:Fallback>
        </mc:AlternateContent>
      </w:r>
      <w:r w:rsidR="00CF5551">
        <w:rPr>
          <w:b/>
          <w:sz w:val="17"/>
        </w:rPr>
        <w:t xml:space="preserve">                                                                                                    </w:t>
      </w:r>
    </w:p>
    <w:p w14:paraId="2D15CE81" w14:textId="13FC9719" w:rsidR="008E6B24" w:rsidRPr="00FD4E4B" w:rsidRDefault="008E6B24" w:rsidP="00FD4E4B"/>
    <w:p w14:paraId="389FF2CC" w14:textId="1F36AE65" w:rsidR="003B5DE5" w:rsidRPr="00FD4E4B" w:rsidRDefault="00777A8E" w:rsidP="00FD4E4B">
      <w:r>
        <w:rPr>
          <w:noProof/>
        </w:rPr>
        <mc:AlternateContent>
          <mc:Choice Requires="wps">
            <w:drawing>
              <wp:anchor distT="0" distB="0" distL="114300" distR="114300" simplePos="0" relativeHeight="251663360" behindDoc="0" locked="0" layoutInCell="1" allowOverlap="1" wp14:anchorId="1C4C6D0F" wp14:editId="1488C190">
                <wp:simplePos x="0" y="0"/>
                <wp:positionH relativeFrom="margin">
                  <wp:posOffset>5740400</wp:posOffset>
                </wp:positionH>
                <wp:positionV relativeFrom="paragraph">
                  <wp:posOffset>8890</wp:posOffset>
                </wp:positionV>
                <wp:extent cx="100965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schemeClr val="bg1"/>
                          </a:solidFill>
                        </a:ln>
                      </wps:spPr>
                      <wps:txbx>
                        <w:txbxContent>
                          <w:p w14:paraId="42EFE643" w14:textId="2AB8B3AC" w:rsidR="0048043F" w:rsidRPr="00051E9A" w:rsidRDefault="0048043F" w:rsidP="0048043F">
                            <w:pPr>
                              <w:rPr>
                                <w:sz w:val="17"/>
                                <w:szCs w:val="17"/>
                              </w:rPr>
                            </w:pPr>
                            <w:r w:rsidRPr="00220DCB">
                              <w:rPr>
                                <w:sz w:val="17"/>
                                <w:szCs w:val="17"/>
                              </w:rPr>
                              <w:t>Policy # 201</w:t>
                            </w:r>
                            <w:r w:rsidR="00220DCB" w:rsidRPr="00220DCB">
                              <w:rPr>
                                <w:sz w:val="17"/>
                                <w:szCs w:val="17"/>
                              </w:rPr>
                              <w:t>9-0</w:t>
                            </w:r>
                            <w:r w:rsidR="00BA7DB6">
                              <w:rPr>
                                <w:sz w:val="17"/>
                                <w:szCs w:val="17"/>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C6D0F" id="_x0000_t202" coordsize="21600,21600" o:spt="202" path="m,l,21600r21600,l21600,xe">
                <v:stroke joinstyle="miter"/>
                <v:path gradientshapeok="t" o:connecttype="rect"/>
              </v:shapetype>
              <v:shape id="Text Box 2" o:spid="_x0000_s1027" type="#_x0000_t202" style="position:absolute;margin-left:452pt;margin-top:.7pt;width:79.5pt;height: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" fillcolor="white [3201]" strokecolor="white [3212]" strokeweight=".5pt">
                <v:textbox>
                  <w:txbxContent>
                    <w:p w14:paraId="42EFE643" w14:textId="2AB8B3AC" w:rsidR="0048043F" w:rsidRPr="00051E9A" w:rsidRDefault="0048043F" w:rsidP="0048043F">
                      <w:pPr>
                        <w:rPr>
                          <w:sz w:val="17"/>
                          <w:szCs w:val="17"/>
                        </w:rPr>
                      </w:pPr>
                      <w:r w:rsidRPr="00220DCB">
                        <w:rPr>
                          <w:sz w:val="17"/>
                          <w:szCs w:val="17"/>
                        </w:rPr>
                        <w:t>Policy # 201</w:t>
                      </w:r>
                      <w:r w:rsidR="00220DCB" w:rsidRPr="00220DCB">
                        <w:rPr>
                          <w:sz w:val="17"/>
                          <w:szCs w:val="17"/>
                        </w:rPr>
                        <w:t>9-0</w:t>
                      </w:r>
                      <w:r w:rsidR="00BA7DB6">
                        <w:rPr>
                          <w:sz w:val="17"/>
                          <w:szCs w:val="17"/>
                        </w:rPr>
                        <w:t>5</w:t>
                      </w:r>
                    </w:p>
                  </w:txbxContent>
                </v:textbox>
                <w10:wrap anchorx="margin"/>
              </v:shape>
            </w:pict>
          </mc:Fallback>
        </mc:AlternateContent>
      </w:r>
    </w:p>
    <w:p w14:paraId="1519884E" w14:textId="77777777" w:rsidR="0048043F" w:rsidRDefault="0048043F" w:rsidP="00FD4E4B">
      <w:pPr>
        <w:jc w:val="center"/>
        <w:rPr>
          <w:rFonts w:ascii="Arial" w:hAnsi="Arial" w:cs="Arial"/>
          <w:b/>
          <w:sz w:val="32"/>
          <w:szCs w:val="32"/>
        </w:rPr>
      </w:pPr>
    </w:p>
    <w:p w14:paraId="49BACBF1" w14:textId="77777777" w:rsidR="00777A8E" w:rsidRDefault="00777A8E" w:rsidP="00FD4E4B">
      <w:pPr>
        <w:jc w:val="center"/>
        <w:rPr>
          <w:rFonts w:ascii="Arial" w:hAnsi="Arial" w:cs="Arial"/>
          <w:b/>
          <w:sz w:val="32"/>
          <w:szCs w:val="32"/>
        </w:rPr>
      </w:pPr>
    </w:p>
    <w:p w14:paraId="0AC7E5AF" w14:textId="132E4A70" w:rsidR="00CC2C32" w:rsidRDefault="003A3BE5" w:rsidP="00FD4E4B">
      <w:pPr>
        <w:jc w:val="center"/>
        <w:rPr>
          <w:rFonts w:ascii="Arial" w:hAnsi="Arial" w:cs="Arial"/>
          <w:b/>
          <w:sz w:val="32"/>
          <w:szCs w:val="32"/>
        </w:rPr>
      </w:pPr>
      <w:r>
        <w:rPr>
          <w:rFonts w:ascii="Arial" w:hAnsi="Arial" w:cs="Arial"/>
          <w:b/>
          <w:sz w:val="32"/>
          <w:szCs w:val="32"/>
        </w:rPr>
        <w:t>WIOA TRAINING EXPENDITURE REQUIREMENT</w:t>
      </w:r>
    </w:p>
    <w:p w14:paraId="5E7A9A86" w14:textId="77777777" w:rsidR="00CC2C32" w:rsidRPr="002453E4" w:rsidRDefault="00CC2C32" w:rsidP="00FD4E4B">
      <w:pPr>
        <w:rPr>
          <w:rFonts w:ascii="Arial" w:hAnsi="Arial" w:cs="Arial"/>
        </w:rPr>
      </w:pPr>
    </w:p>
    <w:p w14:paraId="26A254F8" w14:textId="671D950D" w:rsidR="00FD4E4B" w:rsidRPr="002453E4" w:rsidRDefault="00907A0D" w:rsidP="00907A0D">
      <w:pPr>
        <w:tabs>
          <w:tab w:val="left" w:pos="360"/>
        </w:tabs>
        <w:rPr>
          <w:rFonts w:ascii="Arial" w:hAnsi="Arial" w:cs="Arial"/>
          <w:b/>
          <w:color w:val="3787C3"/>
          <w:sz w:val="28"/>
          <w:szCs w:val="28"/>
        </w:rPr>
      </w:pPr>
      <w:r>
        <w:rPr>
          <w:rFonts w:ascii="Arial" w:hAnsi="Arial" w:cs="Arial"/>
          <w:b/>
          <w:color w:val="3787C3"/>
          <w:sz w:val="28"/>
          <w:szCs w:val="28"/>
        </w:rPr>
        <w:tab/>
      </w:r>
      <w:r w:rsidR="00FD4E4B" w:rsidRPr="002453E4">
        <w:rPr>
          <w:rFonts w:ascii="Arial" w:hAnsi="Arial" w:cs="Arial"/>
          <w:b/>
          <w:color w:val="3787C3"/>
          <w:sz w:val="28"/>
          <w:szCs w:val="28"/>
        </w:rPr>
        <w:t>EXECUTIVE SUMMARY</w:t>
      </w:r>
    </w:p>
    <w:p w14:paraId="7E469379" w14:textId="16C5E470" w:rsidR="0098334A" w:rsidRPr="002453E4" w:rsidRDefault="0098334A" w:rsidP="0098334A">
      <w:pPr>
        <w:pBdr>
          <w:bottom w:val="double" w:sz="12" w:space="1" w:color="A40000"/>
        </w:pBdr>
        <w:rPr>
          <w:rFonts w:ascii="Arial" w:hAnsi="Arial" w:cs="Arial"/>
        </w:rPr>
      </w:pPr>
    </w:p>
    <w:p w14:paraId="78919C8D" w14:textId="6A709165" w:rsidR="004A4DDC" w:rsidRPr="00647711" w:rsidRDefault="00647711" w:rsidP="00647711">
      <w:pPr>
        <w:widowControl/>
        <w:adjustRightInd w:val="0"/>
        <w:rPr>
          <w:rFonts w:ascii="Arial" w:eastAsiaTheme="minorHAnsi" w:hAnsi="Arial" w:cs="Arial"/>
          <w:color w:val="000000"/>
        </w:rPr>
      </w:pPr>
      <w:r w:rsidRPr="00647711">
        <w:rPr>
          <w:rFonts w:ascii="Arial" w:eastAsiaTheme="minorHAnsi" w:hAnsi="Arial" w:cs="Arial"/>
          <w:color w:val="000000"/>
        </w:rPr>
        <w:t>The purpose of this policy is to provide</w:t>
      </w:r>
      <w:r w:rsidR="00022528" w:rsidRPr="00647711">
        <w:rPr>
          <w:rFonts w:ascii="Arial" w:eastAsiaTheme="minorHAnsi" w:hAnsi="Arial" w:cs="Arial"/>
          <w:color w:val="000000"/>
        </w:rPr>
        <w:t xml:space="preserve"> guidance and establish the procedures regarding the </w:t>
      </w:r>
      <w:r w:rsidR="00022528" w:rsidRPr="00647711">
        <w:rPr>
          <w:rFonts w:ascii="Arial" w:eastAsiaTheme="minorHAnsi" w:hAnsi="Arial" w:cs="Arial"/>
          <w:i/>
          <w:iCs/>
          <w:color w:val="000000"/>
        </w:rPr>
        <w:t xml:space="preserve">Workforce Innovation and Opportunity Act </w:t>
      </w:r>
      <w:r w:rsidR="00022528" w:rsidRPr="00647711">
        <w:rPr>
          <w:rFonts w:ascii="Arial" w:eastAsiaTheme="minorHAnsi" w:hAnsi="Arial" w:cs="Arial"/>
          <w:color w:val="000000"/>
        </w:rPr>
        <w:t xml:space="preserve">(WIOA) training expenditure requirement imposed by Assembly Bill (AB) 1149. </w:t>
      </w:r>
    </w:p>
    <w:p w14:paraId="5128B5A9" w14:textId="77777777" w:rsidR="00FD4E4B" w:rsidRPr="002453E4" w:rsidRDefault="00FD4E4B" w:rsidP="00FD4E4B">
      <w:pPr>
        <w:rPr>
          <w:rFonts w:ascii="Arial" w:hAnsi="Arial" w:cs="Arial"/>
        </w:rPr>
      </w:pPr>
    </w:p>
    <w:p w14:paraId="40584056" w14:textId="7DBAA64C" w:rsidR="00FD4E4B" w:rsidRPr="002453E4" w:rsidRDefault="00FD4E4B" w:rsidP="00907A0D">
      <w:pPr>
        <w:ind w:firstLine="360"/>
        <w:rPr>
          <w:rFonts w:ascii="Arial" w:hAnsi="Arial" w:cs="Arial"/>
          <w:b/>
          <w:color w:val="3787C3"/>
          <w:sz w:val="28"/>
          <w:szCs w:val="28"/>
        </w:rPr>
      </w:pPr>
      <w:r w:rsidRPr="002453E4">
        <w:rPr>
          <w:rFonts w:ascii="Arial" w:hAnsi="Arial" w:cs="Arial"/>
          <w:b/>
          <w:color w:val="3787C3"/>
          <w:sz w:val="28"/>
          <w:szCs w:val="28"/>
        </w:rPr>
        <w:t>REFERENCES</w:t>
      </w:r>
    </w:p>
    <w:p w14:paraId="6A04A2B7" w14:textId="261D019E" w:rsidR="0098334A" w:rsidRPr="002453E4" w:rsidRDefault="0098334A" w:rsidP="0098334A">
      <w:pPr>
        <w:pBdr>
          <w:bottom w:val="double" w:sz="12" w:space="1" w:color="A40000"/>
        </w:pBdr>
        <w:rPr>
          <w:rFonts w:ascii="Arial" w:hAnsi="Arial" w:cs="Arial"/>
        </w:rPr>
      </w:pPr>
    </w:p>
    <w:p w14:paraId="064A3503" w14:textId="73B70292" w:rsidR="00022528" w:rsidRPr="00B52463" w:rsidRDefault="00022528" w:rsidP="00064BC1">
      <w:pPr>
        <w:pStyle w:val="ListParagraph"/>
        <w:widowControl/>
        <w:numPr>
          <w:ilvl w:val="0"/>
          <w:numId w:val="1"/>
        </w:numPr>
        <w:adjustRightInd w:val="0"/>
        <w:rPr>
          <w:rFonts w:ascii="Arial" w:eastAsiaTheme="minorHAnsi" w:hAnsi="Arial" w:cs="Arial"/>
          <w:color w:val="000000"/>
        </w:rPr>
      </w:pPr>
      <w:r w:rsidRPr="00B52463">
        <w:rPr>
          <w:rFonts w:ascii="Arial" w:eastAsiaTheme="minorHAnsi" w:hAnsi="Arial" w:cs="Arial"/>
          <w:color w:val="000000"/>
        </w:rPr>
        <w:t xml:space="preserve">WIOA Sections 3(59), 3(60), 134(c)(3)(D), and 134(d)(2)-(3) </w:t>
      </w:r>
    </w:p>
    <w:p w14:paraId="67E07593" w14:textId="39497227" w:rsidR="00022528" w:rsidRPr="00B52463" w:rsidRDefault="00022528" w:rsidP="00064BC1">
      <w:pPr>
        <w:pStyle w:val="ListParagraph"/>
        <w:widowControl/>
        <w:numPr>
          <w:ilvl w:val="0"/>
          <w:numId w:val="1"/>
        </w:numPr>
        <w:adjustRightInd w:val="0"/>
        <w:rPr>
          <w:rFonts w:ascii="Arial" w:eastAsiaTheme="minorHAnsi" w:hAnsi="Arial" w:cs="Arial"/>
          <w:color w:val="000000"/>
        </w:rPr>
      </w:pPr>
      <w:r w:rsidRPr="00B52463">
        <w:rPr>
          <w:rFonts w:ascii="Arial" w:eastAsiaTheme="minorHAnsi" w:hAnsi="Arial" w:cs="Arial"/>
          <w:color w:val="000000"/>
        </w:rPr>
        <w:t xml:space="preserve">Title 29 </w:t>
      </w:r>
      <w:r w:rsidRPr="00B52463">
        <w:rPr>
          <w:rFonts w:ascii="Arial" w:eastAsiaTheme="minorHAnsi" w:hAnsi="Arial" w:cs="Arial"/>
          <w:i/>
          <w:iCs/>
          <w:color w:val="000000"/>
        </w:rPr>
        <w:t xml:space="preserve">United States Code </w:t>
      </w:r>
      <w:r w:rsidRPr="00B52463">
        <w:rPr>
          <w:rFonts w:ascii="Arial" w:eastAsiaTheme="minorHAnsi" w:hAnsi="Arial" w:cs="Arial"/>
          <w:color w:val="000000"/>
        </w:rPr>
        <w:t xml:space="preserve">(USC) Section 3174(c)(3)(D) </w:t>
      </w:r>
    </w:p>
    <w:p w14:paraId="290B7F2A" w14:textId="3AB216D4" w:rsidR="00022528" w:rsidRPr="00B52463" w:rsidRDefault="00022528" w:rsidP="00064BC1">
      <w:pPr>
        <w:pStyle w:val="ListParagraph"/>
        <w:widowControl/>
        <w:numPr>
          <w:ilvl w:val="0"/>
          <w:numId w:val="1"/>
        </w:numPr>
        <w:adjustRightInd w:val="0"/>
        <w:rPr>
          <w:rFonts w:ascii="Arial" w:eastAsiaTheme="minorHAnsi" w:hAnsi="Arial" w:cs="Arial"/>
          <w:color w:val="000000"/>
        </w:rPr>
      </w:pPr>
      <w:r w:rsidRPr="00B52463">
        <w:rPr>
          <w:rFonts w:ascii="Arial" w:eastAsiaTheme="minorHAnsi" w:hAnsi="Arial" w:cs="Arial"/>
          <w:color w:val="000000"/>
        </w:rPr>
        <w:t xml:space="preserve">Title 20 </w:t>
      </w:r>
      <w:r w:rsidRPr="00B52463">
        <w:rPr>
          <w:rFonts w:ascii="Arial" w:eastAsiaTheme="minorHAnsi" w:hAnsi="Arial" w:cs="Arial"/>
          <w:i/>
          <w:iCs/>
          <w:color w:val="000000"/>
        </w:rPr>
        <w:t xml:space="preserve">Code of Federal Regulations </w:t>
      </w:r>
      <w:r w:rsidRPr="00B52463">
        <w:rPr>
          <w:rFonts w:ascii="Arial" w:eastAsiaTheme="minorHAnsi" w:hAnsi="Arial" w:cs="Arial"/>
          <w:color w:val="000000"/>
        </w:rPr>
        <w:t xml:space="preserve">(CFR) Sections 680.200 and 680.900-680.970. </w:t>
      </w:r>
    </w:p>
    <w:p w14:paraId="391A4447" w14:textId="7ED0C78B" w:rsidR="00022528" w:rsidRPr="00B52463" w:rsidRDefault="00022528" w:rsidP="00064BC1">
      <w:pPr>
        <w:pStyle w:val="ListParagraph"/>
        <w:widowControl/>
        <w:numPr>
          <w:ilvl w:val="0"/>
          <w:numId w:val="1"/>
        </w:numPr>
        <w:adjustRightInd w:val="0"/>
        <w:rPr>
          <w:rFonts w:ascii="Arial" w:eastAsiaTheme="minorHAnsi" w:hAnsi="Arial" w:cs="Arial"/>
          <w:color w:val="000000"/>
        </w:rPr>
      </w:pPr>
      <w:r w:rsidRPr="00B52463">
        <w:rPr>
          <w:rFonts w:ascii="Arial" w:eastAsiaTheme="minorHAnsi" w:hAnsi="Arial" w:cs="Arial"/>
          <w:color w:val="000000"/>
        </w:rPr>
        <w:t xml:space="preserve">Title IV of the </w:t>
      </w:r>
      <w:r w:rsidRPr="00B52463">
        <w:rPr>
          <w:rFonts w:ascii="Arial" w:eastAsiaTheme="minorHAnsi" w:hAnsi="Arial" w:cs="Arial"/>
          <w:i/>
          <w:iCs/>
          <w:color w:val="000000"/>
        </w:rPr>
        <w:t xml:space="preserve">Higher Education Act of 1965 </w:t>
      </w:r>
      <w:r w:rsidRPr="00B52463">
        <w:rPr>
          <w:rFonts w:ascii="Arial" w:eastAsiaTheme="minorHAnsi" w:hAnsi="Arial" w:cs="Arial"/>
          <w:color w:val="000000"/>
        </w:rPr>
        <w:t xml:space="preserve">Section 401 </w:t>
      </w:r>
    </w:p>
    <w:p w14:paraId="3FBA1F5A" w14:textId="283159AD" w:rsidR="00022528" w:rsidRPr="00B52463" w:rsidRDefault="00022528" w:rsidP="00064BC1">
      <w:pPr>
        <w:pStyle w:val="ListParagraph"/>
        <w:widowControl/>
        <w:numPr>
          <w:ilvl w:val="0"/>
          <w:numId w:val="1"/>
        </w:numPr>
        <w:adjustRightInd w:val="0"/>
        <w:rPr>
          <w:rFonts w:ascii="Arial" w:eastAsiaTheme="minorHAnsi" w:hAnsi="Arial" w:cs="Arial"/>
          <w:color w:val="000000"/>
        </w:rPr>
      </w:pPr>
      <w:r w:rsidRPr="00B52463">
        <w:rPr>
          <w:rFonts w:ascii="Arial" w:eastAsiaTheme="minorHAnsi" w:hAnsi="Arial" w:cs="Arial"/>
          <w:i/>
          <w:iCs/>
          <w:color w:val="000000"/>
        </w:rPr>
        <w:t xml:space="preserve">California Unemployment Insurance Code </w:t>
      </w:r>
      <w:r w:rsidRPr="00B52463">
        <w:rPr>
          <w:rFonts w:ascii="Arial" w:eastAsiaTheme="minorHAnsi" w:hAnsi="Arial" w:cs="Arial"/>
          <w:color w:val="000000"/>
        </w:rPr>
        <w:t xml:space="preserve">(CUIC) Section 14211 </w:t>
      </w:r>
    </w:p>
    <w:p w14:paraId="62518514" w14:textId="1D9F25EA" w:rsidR="00022528" w:rsidRPr="00B52463" w:rsidRDefault="00022528" w:rsidP="00064BC1">
      <w:pPr>
        <w:pStyle w:val="ListParagraph"/>
        <w:widowControl/>
        <w:numPr>
          <w:ilvl w:val="0"/>
          <w:numId w:val="1"/>
        </w:numPr>
        <w:adjustRightInd w:val="0"/>
        <w:rPr>
          <w:rFonts w:ascii="Arial" w:eastAsiaTheme="minorHAnsi" w:hAnsi="Arial" w:cs="Arial"/>
          <w:color w:val="000000"/>
        </w:rPr>
      </w:pPr>
      <w:r w:rsidRPr="00B52463">
        <w:rPr>
          <w:rFonts w:ascii="Arial" w:eastAsiaTheme="minorHAnsi" w:hAnsi="Arial" w:cs="Arial"/>
          <w:color w:val="000000"/>
        </w:rPr>
        <w:t xml:space="preserve">AB 1149 (Arambula), Chapter 423, Statutes of 2017 </w:t>
      </w:r>
    </w:p>
    <w:p w14:paraId="6C6B31BF" w14:textId="70186DB9" w:rsidR="00022528" w:rsidRPr="00B52463" w:rsidRDefault="00022528" w:rsidP="00064BC1">
      <w:pPr>
        <w:pStyle w:val="ListParagraph"/>
        <w:widowControl/>
        <w:numPr>
          <w:ilvl w:val="0"/>
          <w:numId w:val="1"/>
        </w:numPr>
        <w:adjustRightInd w:val="0"/>
        <w:rPr>
          <w:rFonts w:ascii="Arial" w:eastAsiaTheme="minorHAnsi" w:hAnsi="Arial" w:cs="Arial"/>
          <w:color w:val="000000"/>
        </w:rPr>
      </w:pPr>
      <w:r w:rsidRPr="00B52463">
        <w:rPr>
          <w:rFonts w:ascii="Arial" w:eastAsiaTheme="minorHAnsi" w:hAnsi="Arial" w:cs="Arial"/>
          <w:color w:val="000000"/>
        </w:rPr>
        <w:t>Senate Bill (SB) 734 (</w:t>
      </w:r>
      <w:proofErr w:type="spellStart"/>
      <w:r w:rsidRPr="00B52463">
        <w:rPr>
          <w:rFonts w:ascii="Arial" w:eastAsiaTheme="minorHAnsi" w:hAnsi="Arial" w:cs="Arial"/>
          <w:color w:val="000000"/>
        </w:rPr>
        <w:t>DeSaulinier</w:t>
      </w:r>
      <w:proofErr w:type="spellEnd"/>
      <w:r w:rsidRPr="00B52463">
        <w:rPr>
          <w:rFonts w:ascii="Arial" w:eastAsiaTheme="minorHAnsi" w:hAnsi="Arial" w:cs="Arial"/>
          <w:color w:val="000000"/>
        </w:rPr>
        <w:t xml:space="preserve">), Chapter 498, Statutes of 2011 </w:t>
      </w:r>
    </w:p>
    <w:p w14:paraId="2D04CEF5" w14:textId="5F8EFFB9" w:rsidR="00022528" w:rsidRPr="00B52463" w:rsidRDefault="00022528" w:rsidP="00064BC1">
      <w:pPr>
        <w:pStyle w:val="ListParagraph"/>
        <w:widowControl/>
        <w:numPr>
          <w:ilvl w:val="0"/>
          <w:numId w:val="1"/>
        </w:numPr>
        <w:adjustRightInd w:val="0"/>
        <w:rPr>
          <w:rFonts w:ascii="Arial" w:eastAsiaTheme="minorHAnsi" w:hAnsi="Arial" w:cs="Arial"/>
          <w:color w:val="000000"/>
        </w:rPr>
      </w:pPr>
      <w:r w:rsidRPr="00B52463">
        <w:rPr>
          <w:rFonts w:ascii="Arial" w:eastAsiaTheme="minorHAnsi" w:hAnsi="Arial" w:cs="Arial"/>
          <w:i/>
          <w:iCs/>
          <w:color w:val="000000"/>
        </w:rPr>
        <w:t xml:space="preserve">Workforce Services Directive </w:t>
      </w:r>
      <w:r w:rsidRPr="00B52463">
        <w:rPr>
          <w:rFonts w:ascii="Arial" w:eastAsiaTheme="minorHAnsi" w:hAnsi="Arial" w:cs="Arial"/>
          <w:color w:val="000000"/>
        </w:rPr>
        <w:t xml:space="preserve">WSD16-13, Subject: </w:t>
      </w:r>
      <w:r w:rsidRPr="00B52463">
        <w:rPr>
          <w:rFonts w:ascii="Arial" w:eastAsiaTheme="minorHAnsi" w:hAnsi="Arial" w:cs="Arial"/>
          <w:i/>
          <w:iCs/>
          <w:color w:val="000000"/>
        </w:rPr>
        <w:t xml:space="preserve">Quarterly and Monthly Reporting Requirements </w:t>
      </w:r>
      <w:r w:rsidRPr="00B52463">
        <w:rPr>
          <w:rFonts w:ascii="Arial" w:eastAsiaTheme="minorHAnsi" w:hAnsi="Arial" w:cs="Arial"/>
          <w:color w:val="000000"/>
        </w:rPr>
        <w:t xml:space="preserve">(November 28, 2016) </w:t>
      </w:r>
    </w:p>
    <w:p w14:paraId="3BEE5F36" w14:textId="77116299" w:rsidR="00CC2C32" w:rsidRPr="0077777B" w:rsidRDefault="00022528" w:rsidP="00064BC1">
      <w:pPr>
        <w:pStyle w:val="ListParagraph"/>
        <w:widowControl/>
        <w:numPr>
          <w:ilvl w:val="0"/>
          <w:numId w:val="1"/>
        </w:numPr>
        <w:adjustRightInd w:val="0"/>
        <w:rPr>
          <w:rFonts w:ascii="Arial" w:eastAsiaTheme="minorHAnsi" w:hAnsi="Arial" w:cs="Arial"/>
          <w:color w:val="000000"/>
        </w:rPr>
      </w:pPr>
      <w:r w:rsidRPr="00B52463">
        <w:rPr>
          <w:rFonts w:ascii="Arial" w:eastAsiaTheme="minorHAnsi" w:hAnsi="Arial" w:cs="Arial"/>
          <w:color w:val="000000"/>
        </w:rPr>
        <w:t xml:space="preserve">WSD15-07, Subject: </w:t>
      </w:r>
      <w:r w:rsidRPr="00B52463">
        <w:rPr>
          <w:rFonts w:ascii="Arial" w:eastAsiaTheme="minorHAnsi" w:hAnsi="Arial" w:cs="Arial"/>
          <w:i/>
          <w:iCs/>
          <w:color w:val="000000"/>
        </w:rPr>
        <w:t xml:space="preserve">WIOA Eligible Training Provider List – Policy and Procedures </w:t>
      </w:r>
      <w:r w:rsidRPr="00B52463">
        <w:rPr>
          <w:rFonts w:ascii="Arial" w:eastAsiaTheme="minorHAnsi" w:hAnsi="Arial" w:cs="Arial"/>
          <w:color w:val="000000"/>
        </w:rPr>
        <w:t xml:space="preserve">(November 10, 2015) </w:t>
      </w:r>
    </w:p>
    <w:p w14:paraId="594FF7DA" w14:textId="27D2D11E" w:rsidR="00CC2C32" w:rsidRDefault="00CC2C32" w:rsidP="00FD4E4B">
      <w:pPr>
        <w:rPr>
          <w:rFonts w:ascii="Arial" w:eastAsia="Times New Roman" w:hAnsi="Arial" w:cs="Arial"/>
          <w:bCs/>
          <w:color w:val="000000"/>
        </w:rPr>
      </w:pPr>
    </w:p>
    <w:p w14:paraId="4372FBF4" w14:textId="77777777" w:rsidR="00CC2C32" w:rsidRPr="002453E4" w:rsidRDefault="00CC2C32" w:rsidP="00CC2C32">
      <w:pPr>
        <w:ind w:firstLine="360"/>
        <w:rPr>
          <w:rFonts w:ascii="Arial" w:hAnsi="Arial" w:cs="Arial"/>
          <w:b/>
          <w:color w:val="3787C3"/>
          <w:sz w:val="28"/>
          <w:szCs w:val="28"/>
        </w:rPr>
      </w:pPr>
      <w:r w:rsidRPr="002453E4">
        <w:rPr>
          <w:rFonts w:ascii="Arial" w:hAnsi="Arial" w:cs="Arial"/>
          <w:b/>
          <w:color w:val="3787C3"/>
          <w:sz w:val="28"/>
          <w:szCs w:val="28"/>
        </w:rPr>
        <w:t>BACKGROUND</w:t>
      </w:r>
    </w:p>
    <w:p w14:paraId="2D38870C" w14:textId="77777777" w:rsidR="00CC2C32" w:rsidRPr="002453E4" w:rsidRDefault="00CC2C32" w:rsidP="00CC2C32">
      <w:pPr>
        <w:pBdr>
          <w:bottom w:val="double" w:sz="12" w:space="1" w:color="A40000"/>
        </w:pBdr>
        <w:rPr>
          <w:rFonts w:ascii="Arial" w:hAnsi="Arial" w:cs="Arial"/>
        </w:rPr>
      </w:pPr>
    </w:p>
    <w:p w14:paraId="005D8324" w14:textId="77777777" w:rsidR="00320DA8" w:rsidRDefault="00320DA8" w:rsidP="00320DA8">
      <w:pPr>
        <w:widowControl/>
        <w:autoSpaceDE/>
        <w:autoSpaceDN/>
        <w:rPr>
          <w:rFonts w:eastAsiaTheme="minorHAnsi"/>
          <w:color w:val="000000"/>
          <w:sz w:val="23"/>
          <w:szCs w:val="23"/>
        </w:rPr>
      </w:pPr>
      <w:r w:rsidRPr="009273C2">
        <w:rPr>
          <w:rFonts w:ascii="Arial" w:eastAsiaTheme="minorHAnsi" w:hAnsi="Arial" w:cs="Arial"/>
          <w:color w:val="000000"/>
        </w:rPr>
        <w:t>AB 1149 (Chapter 327, Statutes of 2017) amended the CUIC Section 14211 to expand the types of services to which leveraged funds may be applied, and the types of leveraged funds that may be applied toward the 10 percent credit. In addition to the seven categories of leveraged resources permitted under SB 734, AB 1149 allows the following types of leveraged funds to count toward meeting the 30 percent minimum training expenditure requirement: Temporary Assistance for Needy Families (TANF) funds spent on supportive services, TANF funds spent on transitional and subsidized employment, local, state, or federal funds spent on training or supportive services, and any other public or private funds spent on training or supportive services, for individuals enrolled in training.</w:t>
      </w:r>
      <w:r w:rsidRPr="00835338">
        <w:rPr>
          <w:rFonts w:eastAsiaTheme="minorHAnsi"/>
          <w:color w:val="000000"/>
          <w:sz w:val="23"/>
          <w:szCs w:val="23"/>
        </w:rPr>
        <w:t xml:space="preserve"> </w:t>
      </w:r>
    </w:p>
    <w:p w14:paraId="2F64F7E6" w14:textId="77777777" w:rsidR="00320DA8" w:rsidRDefault="00320DA8" w:rsidP="00835338">
      <w:pPr>
        <w:widowControl/>
        <w:adjustRightInd w:val="0"/>
        <w:rPr>
          <w:rFonts w:ascii="Arial" w:eastAsiaTheme="minorHAnsi" w:hAnsi="Arial" w:cs="Arial"/>
          <w:color w:val="000000"/>
        </w:rPr>
      </w:pPr>
    </w:p>
    <w:p w14:paraId="0DDDE2BA" w14:textId="1E7CA8D0" w:rsidR="00835338" w:rsidRPr="009273C2" w:rsidRDefault="00835338" w:rsidP="00835338">
      <w:pPr>
        <w:widowControl/>
        <w:adjustRightInd w:val="0"/>
        <w:rPr>
          <w:rFonts w:ascii="Arial" w:eastAsiaTheme="minorHAnsi" w:hAnsi="Arial" w:cs="Arial"/>
          <w:color w:val="000000"/>
        </w:rPr>
      </w:pPr>
      <w:r w:rsidRPr="009273C2">
        <w:rPr>
          <w:rFonts w:ascii="Arial" w:eastAsiaTheme="minorHAnsi" w:hAnsi="Arial" w:cs="Arial"/>
          <w:color w:val="000000"/>
        </w:rPr>
        <w:t xml:space="preserve">SB 734 (Chapter 498, Statutes of 2011) added section 14211 to the CUIC. This </w:t>
      </w:r>
      <w:proofErr w:type="gramStart"/>
      <w:r w:rsidRPr="009273C2">
        <w:rPr>
          <w:rFonts w:ascii="Arial" w:eastAsiaTheme="minorHAnsi" w:hAnsi="Arial" w:cs="Arial"/>
          <w:color w:val="000000"/>
        </w:rPr>
        <w:t>section imposed</w:t>
      </w:r>
      <w:proofErr w:type="gramEnd"/>
      <w:r w:rsidRPr="009273C2">
        <w:rPr>
          <w:rFonts w:ascii="Arial" w:eastAsiaTheme="minorHAnsi" w:hAnsi="Arial" w:cs="Arial"/>
          <w:color w:val="000000"/>
        </w:rPr>
        <w:t xml:space="preserve"> training expenditure requirements on Local Boards carrying out Workforce Investment Act, and subsequently WIOA funded programs. Specifically, during Program Years (PY) 2012-13 through 2015-16, Local Boards were required to spend at least 25 percent of their adult and dislocated worker formula funds on training services. Beginning PY 2016-17, this training expenditure requirement increased to 30 percent. SB 734 allowed Local Boards to use seven categories of leveraged funds to receive a credit of up to 10 percent toward meeting their training expenditure requirement. Additionally, it detailed the actions that were required to be taken </w:t>
      </w:r>
      <w:proofErr w:type="gramStart"/>
      <w:r w:rsidRPr="009273C2">
        <w:rPr>
          <w:rFonts w:ascii="Arial" w:eastAsiaTheme="minorHAnsi" w:hAnsi="Arial" w:cs="Arial"/>
          <w:color w:val="000000"/>
        </w:rPr>
        <w:t>in the event that</w:t>
      </w:r>
      <w:proofErr w:type="gramEnd"/>
      <w:r w:rsidRPr="009273C2">
        <w:rPr>
          <w:rFonts w:ascii="Arial" w:eastAsiaTheme="minorHAnsi" w:hAnsi="Arial" w:cs="Arial"/>
          <w:color w:val="000000"/>
        </w:rPr>
        <w:t xml:space="preserve"> a Local Board did not meet the specified requirements. </w:t>
      </w:r>
    </w:p>
    <w:p w14:paraId="4730BF13" w14:textId="77777777" w:rsidR="00835338" w:rsidRPr="009273C2" w:rsidRDefault="00835338" w:rsidP="00835338">
      <w:pPr>
        <w:widowControl/>
        <w:autoSpaceDE/>
        <w:autoSpaceDN/>
        <w:rPr>
          <w:rFonts w:ascii="Arial" w:eastAsiaTheme="minorHAnsi" w:hAnsi="Arial" w:cs="Arial"/>
          <w:color w:val="000000"/>
        </w:rPr>
      </w:pPr>
    </w:p>
    <w:p w14:paraId="24B488E8" w14:textId="6E74002F" w:rsidR="00777A8E" w:rsidRDefault="00777A8E" w:rsidP="00835338">
      <w:pPr>
        <w:widowControl/>
        <w:autoSpaceDE/>
        <w:autoSpaceDN/>
        <w:rPr>
          <w:rFonts w:ascii="Arial" w:eastAsia="Times New Roman" w:hAnsi="Arial" w:cs="Arial"/>
          <w:bCs/>
          <w:color w:val="000000"/>
        </w:rPr>
      </w:pPr>
    </w:p>
    <w:p w14:paraId="10CAD772" w14:textId="77777777" w:rsidR="00EB726C" w:rsidRDefault="00EB726C" w:rsidP="00907A0D">
      <w:pPr>
        <w:ind w:firstLine="360"/>
        <w:rPr>
          <w:rFonts w:ascii="Arial" w:hAnsi="Arial" w:cs="Arial"/>
          <w:b/>
          <w:color w:val="3787C3"/>
          <w:sz w:val="28"/>
          <w:szCs w:val="28"/>
        </w:rPr>
      </w:pPr>
    </w:p>
    <w:p w14:paraId="6611F414" w14:textId="5BF994B5" w:rsidR="00353CF2" w:rsidRPr="002453E4" w:rsidRDefault="00434CBC" w:rsidP="00907A0D">
      <w:pPr>
        <w:ind w:firstLine="360"/>
        <w:rPr>
          <w:rFonts w:ascii="Arial" w:hAnsi="Arial" w:cs="Arial"/>
          <w:b/>
          <w:color w:val="3787C3"/>
          <w:sz w:val="28"/>
          <w:szCs w:val="28"/>
        </w:rPr>
      </w:pPr>
      <w:r>
        <w:rPr>
          <w:rFonts w:ascii="Arial" w:hAnsi="Arial" w:cs="Arial"/>
          <w:b/>
          <w:color w:val="3787C3"/>
          <w:sz w:val="28"/>
          <w:szCs w:val="28"/>
        </w:rPr>
        <w:t>P</w:t>
      </w:r>
      <w:r w:rsidR="006D5D89">
        <w:rPr>
          <w:rFonts w:ascii="Arial" w:hAnsi="Arial" w:cs="Arial"/>
          <w:b/>
          <w:color w:val="3787C3"/>
          <w:sz w:val="28"/>
          <w:szCs w:val="28"/>
        </w:rPr>
        <w:t>ROCEDURAL GUIDANCE</w:t>
      </w:r>
    </w:p>
    <w:p w14:paraId="7C9571DA" w14:textId="1ED59962" w:rsidR="008D4DF6" w:rsidRPr="002453E4" w:rsidRDefault="008D4DF6" w:rsidP="0098334A">
      <w:pPr>
        <w:pBdr>
          <w:bottom w:val="double" w:sz="12" w:space="1" w:color="A40000"/>
        </w:pBdr>
        <w:rPr>
          <w:rFonts w:ascii="Arial" w:hAnsi="Arial" w:cs="Arial"/>
        </w:rPr>
      </w:pPr>
    </w:p>
    <w:p w14:paraId="6746F6D0" w14:textId="77777777" w:rsidR="005F562A" w:rsidRDefault="005F562A" w:rsidP="00900248">
      <w:pPr>
        <w:widowControl/>
        <w:adjustRightInd w:val="0"/>
        <w:rPr>
          <w:rFonts w:ascii="Arial" w:eastAsiaTheme="minorHAnsi" w:hAnsi="Arial" w:cs="Arial"/>
          <w:b/>
          <w:bCs/>
          <w:color w:val="000000"/>
        </w:rPr>
      </w:pPr>
    </w:p>
    <w:p w14:paraId="7A011014" w14:textId="01319C54" w:rsidR="00900248" w:rsidRPr="005F562A" w:rsidRDefault="00900248" w:rsidP="00900248">
      <w:pPr>
        <w:widowControl/>
        <w:adjustRightInd w:val="0"/>
        <w:rPr>
          <w:rFonts w:ascii="Arial" w:eastAsiaTheme="minorHAnsi" w:hAnsi="Arial" w:cs="Arial"/>
          <w:b/>
          <w:bCs/>
          <w:color w:val="000000"/>
          <w:u w:val="single"/>
        </w:rPr>
      </w:pPr>
      <w:r w:rsidRPr="005F562A">
        <w:rPr>
          <w:rFonts w:ascii="Arial" w:eastAsiaTheme="minorHAnsi" w:hAnsi="Arial" w:cs="Arial"/>
          <w:b/>
          <w:bCs/>
          <w:color w:val="000000"/>
          <w:u w:val="single"/>
        </w:rPr>
        <w:t xml:space="preserve">Definitions </w:t>
      </w:r>
    </w:p>
    <w:p w14:paraId="7295A5F3" w14:textId="77777777" w:rsidR="000225B2" w:rsidRPr="000225B2" w:rsidRDefault="000225B2" w:rsidP="00900248">
      <w:pPr>
        <w:widowControl/>
        <w:adjustRightInd w:val="0"/>
        <w:rPr>
          <w:rFonts w:ascii="Arial" w:eastAsiaTheme="minorHAnsi" w:hAnsi="Arial" w:cs="Arial"/>
          <w:color w:val="000000"/>
          <w:u w:val="single"/>
        </w:rPr>
      </w:pPr>
    </w:p>
    <w:p w14:paraId="747FE2C6" w14:textId="29664884" w:rsidR="0044652D" w:rsidRPr="0044652D" w:rsidRDefault="0044652D" w:rsidP="0044652D">
      <w:pPr>
        <w:widowControl/>
        <w:adjustRightInd w:val="0"/>
        <w:rPr>
          <w:rFonts w:ascii="Arial" w:eastAsiaTheme="minorHAnsi" w:hAnsi="Arial" w:cs="Arial"/>
          <w:color w:val="000000"/>
        </w:rPr>
      </w:pPr>
      <w:r w:rsidRPr="0044652D">
        <w:rPr>
          <w:rFonts w:ascii="Arial" w:eastAsiaTheme="minorHAnsi" w:hAnsi="Arial" w:cs="Arial"/>
          <w:color w:val="000000"/>
        </w:rPr>
        <w:t xml:space="preserve">Note – These definitions apply only to this </w:t>
      </w:r>
      <w:r w:rsidR="009A5EA9">
        <w:rPr>
          <w:rFonts w:ascii="Arial" w:eastAsiaTheme="minorHAnsi" w:hAnsi="Arial" w:cs="Arial"/>
          <w:color w:val="000000"/>
        </w:rPr>
        <w:t>policy</w:t>
      </w:r>
      <w:r w:rsidRPr="0044652D">
        <w:rPr>
          <w:rFonts w:ascii="Arial" w:eastAsiaTheme="minorHAnsi" w:hAnsi="Arial" w:cs="Arial"/>
          <w:color w:val="000000"/>
        </w:rPr>
        <w:t xml:space="preserve"> and the requirements of the CUIC Section 14211. They are independent of the definitions provided in WIOA and Workforce Services Directive </w:t>
      </w:r>
      <w:r w:rsidRPr="0044652D">
        <w:rPr>
          <w:rFonts w:ascii="Arial" w:eastAsiaTheme="minorHAnsi" w:hAnsi="Arial" w:cs="Arial"/>
          <w:i/>
          <w:iCs/>
          <w:color w:val="000000"/>
        </w:rPr>
        <w:t xml:space="preserve">Quarterly and Monthly Financial Reporting Requirements </w:t>
      </w:r>
      <w:r w:rsidRPr="0044652D">
        <w:rPr>
          <w:rFonts w:ascii="Arial" w:eastAsiaTheme="minorHAnsi" w:hAnsi="Arial" w:cs="Arial"/>
          <w:color w:val="000000"/>
        </w:rPr>
        <w:t xml:space="preserve">(WSD16-13). </w:t>
      </w:r>
    </w:p>
    <w:p w14:paraId="146E4CEF" w14:textId="77777777" w:rsidR="007A5715" w:rsidRDefault="007A5715" w:rsidP="0044652D">
      <w:pPr>
        <w:widowControl/>
        <w:adjustRightInd w:val="0"/>
        <w:rPr>
          <w:rFonts w:eastAsiaTheme="minorHAnsi"/>
          <w:color w:val="000000"/>
          <w:sz w:val="23"/>
          <w:szCs w:val="23"/>
        </w:rPr>
      </w:pPr>
    </w:p>
    <w:p w14:paraId="2F139E07" w14:textId="77777777" w:rsidR="005F562A" w:rsidRPr="005F562A" w:rsidRDefault="0044652D" w:rsidP="00064BC1">
      <w:pPr>
        <w:pStyle w:val="ListParagraph"/>
        <w:widowControl/>
        <w:numPr>
          <w:ilvl w:val="0"/>
          <w:numId w:val="5"/>
        </w:numPr>
        <w:adjustRightInd w:val="0"/>
        <w:rPr>
          <w:rFonts w:ascii="Arial" w:eastAsiaTheme="minorHAnsi" w:hAnsi="Arial" w:cs="Arial"/>
          <w:color w:val="000000"/>
        </w:rPr>
      </w:pPr>
      <w:r w:rsidRPr="002C4C3A">
        <w:rPr>
          <w:rFonts w:ascii="Arial" w:eastAsiaTheme="minorHAnsi" w:hAnsi="Arial" w:cs="Arial"/>
          <w:i/>
          <w:color w:val="000000"/>
          <w:u w:val="single"/>
        </w:rPr>
        <w:t>Cash Contributions</w:t>
      </w:r>
      <w:r w:rsidRPr="005F562A">
        <w:rPr>
          <w:rFonts w:ascii="Arial" w:eastAsiaTheme="minorHAnsi" w:hAnsi="Arial" w:cs="Arial"/>
          <w:color w:val="000000"/>
        </w:rPr>
        <w:t xml:space="preserve"> – Federal and/or non-federal contributions of funds made available to the subrecipient to be used for training or supportive services. Examples include federal and/or non-federal money received from employers, foundations, private entities, local governments, etc. </w:t>
      </w:r>
    </w:p>
    <w:p w14:paraId="0B9E2BC1" w14:textId="77777777" w:rsidR="005F562A" w:rsidRPr="005F562A" w:rsidRDefault="0044652D" w:rsidP="00064BC1">
      <w:pPr>
        <w:pStyle w:val="ListParagraph"/>
        <w:widowControl/>
        <w:numPr>
          <w:ilvl w:val="0"/>
          <w:numId w:val="5"/>
        </w:numPr>
        <w:adjustRightInd w:val="0"/>
        <w:rPr>
          <w:rFonts w:ascii="Arial" w:eastAsiaTheme="minorHAnsi" w:hAnsi="Arial" w:cs="Arial"/>
          <w:color w:val="000000"/>
        </w:rPr>
      </w:pPr>
      <w:r w:rsidRPr="002C4C3A">
        <w:rPr>
          <w:rFonts w:ascii="Arial" w:eastAsiaTheme="minorHAnsi" w:hAnsi="Arial" w:cs="Arial"/>
          <w:i/>
          <w:iCs/>
          <w:color w:val="000000"/>
          <w:u w:val="single"/>
        </w:rPr>
        <w:t>In-Kind Contributions</w:t>
      </w:r>
      <w:r w:rsidRPr="005F562A">
        <w:rPr>
          <w:rFonts w:ascii="Arial" w:eastAsiaTheme="minorHAnsi" w:hAnsi="Arial" w:cs="Arial"/>
          <w:i/>
          <w:iCs/>
          <w:color w:val="000000"/>
        </w:rPr>
        <w:t xml:space="preserve"> </w:t>
      </w:r>
      <w:r w:rsidRPr="005F562A">
        <w:rPr>
          <w:rFonts w:ascii="Arial" w:eastAsiaTheme="minorHAnsi" w:hAnsi="Arial" w:cs="Arial"/>
          <w:color w:val="000000"/>
        </w:rPr>
        <w:t xml:space="preserve">– Federal and/or non-federal contributions of non-cash resources used for training or supportive services. Examples include donated personnel, services, or use of equipment or space. </w:t>
      </w:r>
    </w:p>
    <w:p w14:paraId="0A2CECCD" w14:textId="618E71B2" w:rsidR="005F562A" w:rsidRPr="00AC477E" w:rsidRDefault="0044652D" w:rsidP="00064BC1">
      <w:pPr>
        <w:pStyle w:val="ListParagraph"/>
        <w:widowControl/>
        <w:numPr>
          <w:ilvl w:val="0"/>
          <w:numId w:val="5"/>
        </w:numPr>
        <w:adjustRightInd w:val="0"/>
        <w:rPr>
          <w:rFonts w:ascii="Arial" w:eastAsiaTheme="minorHAnsi" w:hAnsi="Arial" w:cs="Arial"/>
          <w:color w:val="000000"/>
        </w:rPr>
      </w:pPr>
      <w:r w:rsidRPr="002C4C3A">
        <w:rPr>
          <w:rFonts w:ascii="Arial" w:eastAsiaTheme="minorHAnsi" w:hAnsi="Arial" w:cs="Arial"/>
          <w:i/>
          <w:iCs/>
          <w:color w:val="000000"/>
          <w:u w:val="single"/>
        </w:rPr>
        <w:t>Job Readiness Training</w:t>
      </w:r>
      <w:r w:rsidRPr="005F562A">
        <w:rPr>
          <w:rFonts w:ascii="Arial" w:eastAsiaTheme="minorHAnsi" w:hAnsi="Arial" w:cs="Arial"/>
          <w:i/>
          <w:iCs/>
          <w:color w:val="000000"/>
        </w:rPr>
        <w:t xml:space="preserve"> – </w:t>
      </w:r>
      <w:r w:rsidRPr="005F562A">
        <w:rPr>
          <w:rFonts w:ascii="Arial" w:eastAsiaTheme="minorHAnsi" w:hAnsi="Arial" w:cs="Arial"/>
          <w:color w:val="000000"/>
        </w:rPr>
        <w:t xml:space="preserve">Job readiness training includes services that teach skills needed to be successful in the workplace, rather than skills needed to get into the workplace. It should provide participants with specific occupational competencies needed to perform specific work tasks on the job. For example, job readiness training courses could teach WIOA </w:t>
      </w:r>
      <w:proofErr w:type="gramStart"/>
      <w:r w:rsidRPr="005F562A">
        <w:rPr>
          <w:rFonts w:ascii="Arial" w:eastAsiaTheme="minorHAnsi" w:hAnsi="Arial" w:cs="Arial"/>
          <w:color w:val="000000"/>
        </w:rPr>
        <w:t>clients</w:t>
      </w:r>
      <w:proofErr w:type="gramEnd"/>
      <w:r w:rsidRPr="005F562A">
        <w:rPr>
          <w:rFonts w:ascii="Arial" w:eastAsiaTheme="minorHAnsi" w:hAnsi="Arial" w:cs="Arial"/>
          <w:color w:val="000000"/>
        </w:rPr>
        <w:t xml:space="preserve"> skills such as how to communicate in an office environment, how to function as part of a team, or how to work in a deadline driven workplace. In each of these instances, the focus of the training would be on competencies needed to succeed during the workday while on the job (rather than the skills needed to find and apply for a job).</w:t>
      </w:r>
      <w:r w:rsidR="00AC477E">
        <w:rPr>
          <w:rFonts w:ascii="Arial" w:eastAsiaTheme="minorHAnsi" w:hAnsi="Arial" w:cs="Arial"/>
          <w:color w:val="000000"/>
        </w:rPr>
        <w:t xml:space="preserve">  </w:t>
      </w:r>
      <w:r w:rsidRPr="00AC477E">
        <w:rPr>
          <w:rFonts w:ascii="Arial" w:eastAsiaTheme="minorHAnsi" w:hAnsi="Arial" w:cs="Arial"/>
          <w:color w:val="000000"/>
        </w:rPr>
        <w:t xml:space="preserve">Job Readiness Training does not include skills needed to find and apply for a job, (e.g., job search, interview, or resume writing skills). Under WIOA Section 134, services that teach skills necessary to find and apply for a job are classified either as basic career services or individualized career services. For example, job search assistance is defined as a basic career service, while group counseling or prevocational services focused on resume writing and interview skills are classified as individualized career services. These types of services do not qualify as training because they do not provide the client with competencies needed to perform specific tasks on the job. As such they do not qualify as training expenditures under the CUIC Section 14211. </w:t>
      </w:r>
    </w:p>
    <w:p w14:paraId="104C61A8" w14:textId="77777777" w:rsidR="005F562A" w:rsidRPr="005F562A" w:rsidRDefault="0044652D" w:rsidP="00064BC1">
      <w:pPr>
        <w:pStyle w:val="ListParagraph"/>
        <w:widowControl/>
        <w:numPr>
          <w:ilvl w:val="0"/>
          <w:numId w:val="5"/>
        </w:numPr>
        <w:adjustRightInd w:val="0"/>
        <w:rPr>
          <w:rFonts w:ascii="Arial" w:eastAsiaTheme="minorHAnsi" w:hAnsi="Arial" w:cs="Arial"/>
          <w:color w:val="000000"/>
        </w:rPr>
      </w:pPr>
      <w:r w:rsidRPr="002C4C3A">
        <w:rPr>
          <w:rFonts w:ascii="Arial" w:eastAsiaTheme="minorHAnsi" w:hAnsi="Arial" w:cs="Arial"/>
          <w:i/>
          <w:iCs/>
          <w:color w:val="000000"/>
          <w:u w:val="single"/>
        </w:rPr>
        <w:t>Leveraged Resources</w:t>
      </w:r>
      <w:r w:rsidRPr="005F562A">
        <w:rPr>
          <w:rFonts w:ascii="Arial" w:eastAsiaTheme="minorHAnsi" w:hAnsi="Arial" w:cs="Arial"/>
          <w:i/>
          <w:iCs/>
          <w:color w:val="000000"/>
        </w:rPr>
        <w:t xml:space="preserve"> – </w:t>
      </w:r>
      <w:r w:rsidRPr="005F562A">
        <w:rPr>
          <w:rFonts w:ascii="Arial" w:eastAsiaTheme="minorHAnsi" w:hAnsi="Arial" w:cs="Arial"/>
          <w:color w:val="000000"/>
        </w:rPr>
        <w:t xml:space="preserve">Federal and non-federal resources (cash contributions and in-kind contributions) used by the subrecipient and/or subrecipient contractor for training or supportive services. Leveraged resources must be allowable and auditable under the WIOA program, and meet the requirements included in the “Leveraged Resources” section of this Directive. </w:t>
      </w:r>
    </w:p>
    <w:p w14:paraId="4AD1C3FF" w14:textId="77777777" w:rsidR="005F562A" w:rsidRPr="005F562A" w:rsidRDefault="0044652D" w:rsidP="00064BC1">
      <w:pPr>
        <w:pStyle w:val="ListParagraph"/>
        <w:widowControl/>
        <w:numPr>
          <w:ilvl w:val="0"/>
          <w:numId w:val="5"/>
        </w:numPr>
        <w:adjustRightInd w:val="0"/>
        <w:rPr>
          <w:rFonts w:ascii="Arial" w:eastAsiaTheme="minorHAnsi" w:hAnsi="Arial" w:cs="Arial"/>
          <w:color w:val="000000"/>
        </w:rPr>
      </w:pPr>
      <w:r w:rsidRPr="002C4C3A">
        <w:rPr>
          <w:rFonts w:ascii="Arial" w:eastAsiaTheme="minorHAnsi" w:hAnsi="Arial" w:cs="Arial"/>
          <w:i/>
          <w:iCs/>
          <w:color w:val="000000"/>
          <w:u w:val="single"/>
        </w:rPr>
        <w:t>Match</w:t>
      </w:r>
      <w:r w:rsidRPr="005F562A">
        <w:rPr>
          <w:rFonts w:ascii="Arial" w:eastAsiaTheme="minorHAnsi" w:hAnsi="Arial" w:cs="Arial"/>
          <w:i/>
          <w:iCs/>
          <w:color w:val="000000"/>
        </w:rPr>
        <w:t xml:space="preserve"> – </w:t>
      </w:r>
      <w:r w:rsidRPr="005F562A">
        <w:rPr>
          <w:rFonts w:ascii="Arial" w:eastAsiaTheme="minorHAnsi" w:hAnsi="Arial" w:cs="Arial"/>
          <w:color w:val="000000"/>
        </w:rPr>
        <w:t xml:space="preserve">Resources expended to support training or supportive services, if required as a condition of funding. Match resources can be cash match and/or in-kind contribution match. Match resources must meet the requirements included in the “Leveraged Resources” section of this Directive. </w:t>
      </w:r>
    </w:p>
    <w:p w14:paraId="41CD8A80" w14:textId="77777777" w:rsidR="005F562A" w:rsidRPr="005F562A" w:rsidRDefault="0044652D" w:rsidP="00064BC1">
      <w:pPr>
        <w:pStyle w:val="ListParagraph"/>
        <w:widowControl/>
        <w:numPr>
          <w:ilvl w:val="0"/>
          <w:numId w:val="5"/>
        </w:numPr>
        <w:adjustRightInd w:val="0"/>
        <w:rPr>
          <w:rFonts w:ascii="Arial" w:eastAsiaTheme="minorHAnsi" w:hAnsi="Arial" w:cs="Arial"/>
          <w:color w:val="000000"/>
        </w:rPr>
      </w:pPr>
      <w:r w:rsidRPr="002C4C3A">
        <w:rPr>
          <w:rFonts w:ascii="Arial" w:eastAsiaTheme="minorHAnsi" w:hAnsi="Arial" w:cs="Arial"/>
          <w:i/>
          <w:iCs/>
          <w:color w:val="000000"/>
          <w:u w:val="single"/>
        </w:rPr>
        <w:t>Private Entity</w:t>
      </w:r>
      <w:r w:rsidRPr="005F562A">
        <w:rPr>
          <w:rFonts w:ascii="Arial" w:eastAsiaTheme="minorHAnsi" w:hAnsi="Arial" w:cs="Arial"/>
          <w:i/>
          <w:iCs/>
          <w:color w:val="000000"/>
        </w:rPr>
        <w:t xml:space="preserve"> – </w:t>
      </w:r>
      <w:r w:rsidRPr="005F562A">
        <w:rPr>
          <w:rFonts w:ascii="Arial" w:eastAsiaTheme="minorHAnsi" w:hAnsi="Arial" w:cs="Arial"/>
          <w:color w:val="000000"/>
        </w:rPr>
        <w:t xml:space="preserve">any entity that is not a unit of government, including but not limited to a corporation, partnership, company, nonprofit organization, or other legal entity or a natural person. </w:t>
      </w:r>
    </w:p>
    <w:p w14:paraId="041D9828" w14:textId="77777777" w:rsidR="005F562A" w:rsidRPr="005F562A" w:rsidRDefault="0044652D" w:rsidP="00064BC1">
      <w:pPr>
        <w:pStyle w:val="ListParagraph"/>
        <w:widowControl/>
        <w:numPr>
          <w:ilvl w:val="0"/>
          <w:numId w:val="5"/>
        </w:numPr>
        <w:adjustRightInd w:val="0"/>
        <w:rPr>
          <w:rFonts w:ascii="Arial" w:eastAsiaTheme="minorHAnsi" w:hAnsi="Arial" w:cs="Arial"/>
          <w:color w:val="000000"/>
        </w:rPr>
      </w:pPr>
      <w:r w:rsidRPr="002C4C3A">
        <w:rPr>
          <w:rFonts w:ascii="Arial" w:eastAsiaTheme="minorHAnsi" w:hAnsi="Arial" w:cs="Arial"/>
          <w:i/>
          <w:iCs/>
          <w:color w:val="000000"/>
          <w:u w:val="single"/>
        </w:rPr>
        <w:t>Subrecipient</w:t>
      </w:r>
      <w:r w:rsidRPr="005F562A">
        <w:rPr>
          <w:rFonts w:ascii="Arial" w:eastAsiaTheme="minorHAnsi" w:hAnsi="Arial" w:cs="Arial"/>
          <w:i/>
          <w:iCs/>
          <w:color w:val="000000"/>
        </w:rPr>
        <w:t xml:space="preserve"> – </w:t>
      </w:r>
      <w:r w:rsidRPr="005F562A">
        <w:rPr>
          <w:rFonts w:ascii="Arial" w:eastAsiaTheme="minorHAnsi" w:hAnsi="Arial" w:cs="Arial"/>
          <w:color w:val="000000"/>
        </w:rPr>
        <w:t xml:space="preserve">An organization funded directly by the state. </w:t>
      </w:r>
    </w:p>
    <w:p w14:paraId="7115B49C" w14:textId="77777777" w:rsidR="005F562A" w:rsidRPr="005F562A" w:rsidRDefault="0044652D" w:rsidP="00064BC1">
      <w:pPr>
        <w:pStyle w:val="ListParagraph"/>
        <w:widowControl/>
        <w:numPr>
          <w:ilvl w:val="0"/>
          <w:numId w:val="5"/>
        </w:numPr>
        <w:adjustRightInd w:val="0"/>
        <w:rPr>
          <w:rFonts w:ascii="Arial" w:eastAsiaTheme="minorHAnsi" w:hAnsi="Arial" w:cs="Arial"/>
          <w:color w:val="000000"/>
        </w:rPr>
      </w:pPr>
      <w:r w:rsidRPr="002C4C3A">
        <w:rPr>
          <w:rFonts w:ascii="Arial" w:eastAsiaTheme="minorHAnsi" w:hAnsi="Arial" w:cs="Arial"/>
          <w:i/>
          <w:iCs/>
          <w:color w:val="000000"/>
          <w:u w:val="single"/>
        </w:rPr>
        <w:t>Subrecipient Contractor</w:t>
      </w:r>
      <w:r w:rsidRPr="005F562A">
        <w:rPr>
          <w:rFonts w:ascii="Arial" w:eastAsiaTheme="minorHAnsi" w:hAnsi="Arial" w:cs="Arial"/>
          <w:i/>
          <w:iCs/>
          <w:color w:val="000000"/>
        </w:rPr>
        <w:t xml:space="preserve"> – </w:t>
      </w:r>
      <w:r w:rsidRPr="005F562A">
        <w:rPr>
          <w:rFonts w:ascii="Arial" w:eastAsiaTheme="minorHAnsi" w:hAnsi="Arial" w:cs="Arial"/>
          <w:color w:val="000000"/>
        </w:rPr>
        <w:t xml:space="preserve">An organization funded by the subrecipient. </w:t>
      </w:r>
    </w:p>
    <w:p w14:paraId="2CBB747C" w14:textId="77777777" w:rsidR="005F562A" w:rsidRPr="005F562A" w:rsidRDefault="0044652D" w:rsidP="00064BC1">
      <w:pPr>
        <w:pStyle w:val="ListParagraph"/>
        <w:widowControl/>
        <w:numPr>
          <w:ilvl w:val="0"/>
          <w:numId w:val="5"/>
        </w:numPr>
        <w:adjustRightInd w:val="0"/>
        <w:rPr>
          <w:rFonts w:ascii="Arial" w:eastAsiaTheme="minorHAnsi" w:hAnsi="Arial" w:cs="Arial"/>
          <w:color w:val="000000"/>
        </w:rPr>
      </w:pPr>
      <w:r w:rsidRPr="002C4C3A">
        <w:rPr>
          <w:rFonts w:ascii="Arial" w:eastAsiaTheme="minorHAnsi" w:hAnsi="Arial" w:cs="Arial"/>
          <w:i/>
          <w:iCs/>
          <w:color w:val="000000"/>
          <w:u w:val="single"/>
        </w:rPr>
        <w:t>Supportive Services</w:t>
      </w:r>
      <w:r w:rsidRPr="005F562A">
        <w:rPr>
          <w:rFonts w:ascii="Arial" w:eastAsiaTheme="minorHAnsi" w:hAnsi="Arial" w:cs="Arial"/>
          <w:i/>
          <w:iCs/>
          <w:color w:val="000000"/>
        </w:rPr>
        <w:t xml:space="preserve"> </w:t>
      </w:r>
      <w:r w:rsidRPr="005F562A">
        <w:rPr>
          <w:rFonts w:ascii="Arial" w:eastAsiaTheme="minorHAnsi" w:hAnsi="Arial" w:cs="Arial"/>
          <w:color w:val="000000"/>
        </w:rPr>
        <w:t xml:space="preserve">– Services such as assistance with transportation, child care, dependent care, housing, uniforms, safety gear, testing fees, tools, books, school supplies, and needs-related payments that are necessary to enable an individual to participate in WIOA funded activities. </w:t>
      </w:r>
    </w:p>
    <w:p w14:paraId="7662D4BC" w14:textId="5F1DA809" w:rsidR="008F36DA" w:rsidRPr="008F1C3C" w:rsidRDefault="0044652D" w:rsidP="008F36DA">
      <w:pPr>
        <w:pStyle w:val="ListParagraph"/>
        <w:widowControl/>
        <w:numPr>
          <w:ilvl w:val="0"/>
          <w:numId w:val="5"/>
        </w:numPr>
        <w:adjustRightInd w:val="0"/>
        <w:rPr>
          <w:rFonts w:ascii="Arial" w:eastAsiaTheme="minorHAnsi" w:hAnsi="Arial" w:cs="Arial"/>
          <w:color w:val="000000"/>
        </w:rPr>
      </w:pPr>
      <w:r w:rsidRPr="002C4C3A">
        <w:rPr>
          <w:rFonts w:ascii="Arial" w:eastAsiaTheme="minorHAnsi" w:hAnsi="Arial" w:cs="Arial"/>
          <w:i/>
          <w:iCs/>
          <w:color w:val="000000"/>
          <w:u w:val="single"/>
        </w:rPr>
        <w:t>Training Services</w:t>
      </w:r>
      <w:r w:rsidRPr="005F562A">
        <w:rPr>
          <w:rFonts w:ascii="Arial" w:eastAsiaTheme="minorHAnsi" w:hAnsi="Arial" w:cs="Arial"/>
          <w:i/>
          <w:iCs/>
          <w:color w:val="000000"/>
        </w:rPr>
        <w:t xml:space="preserve"> </w:t>
      </w:r>
      <w:r w:rsidRPr="005F562A">
        <w:rPr>
          <w:rFonts w:ascii="Arial" w:eastAsiaTheme="minorHAnsi" w:hAnsi="Arial" w:cs="Arial"/>
          <w:color w:val="000000"/>
        </w:rPr>
        <w:t>– See the “Qualifying Training Services” section of this Directive.</w:t>
      </w:r>
    </w:p>
    <w:p w14:paraId="47E289EA" w14:textId="58D1B7CA" w:rsidR="008F36DA" w:rsidRDefault="008F36DA" w:rsidP="008F36DA">
      <w:pPr>
        <w:widowControl/>
        <w:adjustRightInd w:val="0"/>
        <w:rPr>
          <w:rFonts w:ascii="Arial" w:eastAsiaTheme="minorHAnsi" w:hAnsi="Arial" w:cs="Arial"/>
          <w:color w:val="000000"/>
        </w:rPr>
      </w:pPr>
    </w:p>
    <w:p w14:paraId="7A59ABA9" w14:textId="4C7E013A" w:rsidR="008F36DA" w:rsidRPr="004C1049" w:rsidRDefault="008F36DA" w:rsidP="008F36DA">
      <w:pPr>
        <w:widowControl/>
        <w:adjustRightInd w:val="0"/>
        <w:rPr>
          <w:rFonts w:ascii="Arial" w:eastAsiaTheme="minorHAnsi" w:hAnsi="Arial" w:cs="Arial"/>
          <w:b/>
          <w:bCs/>
          <w:color w:val="000000"/>
          <w:u w:val="single"/>
        </w:rPr>
      </w:pPr>
      <w:r w:rsidRPr="004C1049">
        <w:rPr>
          <w:rFonts w:ascii="Arial" w:eastAsiaTheme="minorHAnsi" w:hAnsi="Arial" w:cs="Arial"/>
          <w:b/>
          <w:bCs/>
          <w:color w:val="000000"/>
          <w:u w:val="single"/>
        </w:rPr>
        <w:t xml:space="preserve">Training Expenditure Requirement </w:t>
      </w:r>
    </w:p>
    <w:p w14:paraId="1901F660" w14:textId="77777777" w:rsidR="008F36DA" w:rsidRPr="004C1049" w:rsidRDefault="008F36DA" w:rsidP="008F36DA">
      <w:pPr>
        <w:widowControl/>
        <w:adjustRightInd w:val="0"/>
        <w:rPr>
          <w:rFonts w:ascii="Arial" w:eastAsiaTheme="minorHAnsi" w:hAnsi="Arial" w:cs="Arial"/>
          <w:color w:val="000000"/>
          <w:u w:val="single"/>
        </w:rPr>
      </w:pPr>
    </w:p>
    <w:p w14:paraId="5D1B6855" w14:textId="02D018BF" w:rsidR="008F36DA" w:rsidRPr="00654A02" w:rsidRDefault="008F36DA" w:rsidP="008F36DA">
      <w:pPr>
        <w:widowControl/>
        <w:adjustRightInd w:val="0"/>
        <w:rPr>
          <w:rFonts w:ascii="Arial" w:eastAsiaTheme="minorHAnsi" w:hAnsi="Arial" w:cs="Arial"/>
          <w:color w:val="000000"/>
        </w:rPr>
      </w:pPr>
      <w:r w:rsidRPr="00654A02">
        <w:rPr>
          <w:rFonts w:ascii="Arial" w:eastAsiaTheme="minorHAnsi" w:hAnsi="Arial" w:cs="Arial"/>
          <w:color w:val="000000"/>
        </w:rPr>
        <w:t>Each P</w:t>
      </w:r>
      <w:r w:rsidR="00B8417C">
        <w:rPr>
          <w:rFonts w:ascii="Arial" w:eastAsiaTheme="minorHAnsi" w:hAnsi="Arial" w:cs="Arial"/>
          <w:color w:val="000000"/>
        </w:rPr>
        <w:t>rogram Year (PY)</w:t>
      </w:r>
      <w:r w:rsidRPr="00654A02">
        <w:rPr>
          <w:rFonts w:ascii="Arial" w:eastAsiaTheme="minorHAnsi" w:hAnsi="Arial" w:cs="Arial"/>
          <w:color w:val="000000"/>
        </w:rPr>
        <w:t xml:space="preserve">, Local boards must spend at least 30 percent of the combined total of their adult and dislocated worker WIOA formula fund allocation on training services. The minimum training expenditure requirement does not apply to the youth WIOA formula fund allocation. Local Boards may apply designated leveraged resources used for training and supportive services (up to 10 percent of the combined total of their adult and dislocated worker formula fund allocation) toward meeting the minimum training expenditure requirement. See the “Leveraged Resources” section of this Directive. </w:t>
      </w:r>
    </w:p>
    <w:p w14:paraId="7EE317AE" w14:textId="77777777" w:rsidR="003E583F" w:rsidRPr="00654A02" w:rsidRDefault="003E583F" w:rsidP="008F36DA">
      <w:pPr>
        <w:widowControl/>
        <w:adjustRightInd w:val="0"/>
        <w:rPr>
          <w:rFonts w:ascii="Arial" w:eastAsiaTheme="minorHAnsi" w:hAnsi="Arial" w:cs="Arial"/>
          <w:color w:val="000000"/>
        </w:rPr>
      </w:pPr>
    </w:p>
    <w:p w14:paraId="7F7E6682" w14:textId="1FE6A469" w:rsidR="008F36DA" w:rsidRPr="00654A02" w:rsidRDefault="008F36DA" w:rsidP="008F36DA">
      <w:pPr>
        <w:widowControl/>
        <w:adjustRightInd w:val="0"/>
        <w:rPr>
          <w:rFonts w:ascii="Arial" w:eastAsiaTheme="minorHAnsi" w:hAnsi="Arial" w:cs="Arial"/>
          <w:color w:val="000000"/>
        </w:rPr>
      </w:pPr>
      <w:r w:rsidRPr="00654A02">
        <w:rPr>
          <w:rFonts w:ascii="Arial" w:eastAsiaTheme="minorHAnsi" w:hAnsi="Arial" w:cs="Arial"/>
          <w:color w:val="000000"/>
        </w:rPr>
        <w:t xml:space="preserve">The training expenditure level for each Local Board after the two-year availability period of the funds is in the “Procedures” section of this Directive. </w:t>
      </w:r>
    </w:p>
    <w:p w14:paraId="2401C78A" w14:textId="77777777" w:rsidR="00FB1151" w:rsidRPr="008F1C3C" w:rsidRDefault="00FB1151" w:rsidP="00FB1151">
      <w:pPr>
        <w:rPr>
          <w:rFonts w:ascii="Arial" w:hAnsi="Arial" w:cs="Arial"/>
        </w:rPr>
      </w:pPr>
    </w:p>
    <w:p w14:paraId="0C4428BC" w14:textId="19F867C5" w:rsidR="00A4686C" w:rsidRPr="00064BC1" w:rsidRDefault="00A4686C" w:rsidP="00A4686C">
      <w:pPr>
        <w:widowControl/>
        <w:adjustRightInd w:val="0"/>
        <w:rPr>
          <w:rFonts w:ascii="Arial" w:eastAsiaTheme="minorHAnsi" w:hAnsi="Arial" w:cs="Arial"/>
          <w:b/>
          <w:bCs/>
          <w:color w:val="000000"/>
          <w:u w:val="single"/>
        </w:rPr>
      </w:pPr>
      <w:r w:rsidRPr="00064BC1">
        <w:rPr>
          <w:rFonts w:ascii="Arial" w:eastAsiaTheme="minorHAnsi" w:hAnsi="Arial" w:cs="Arial"/>
          <w:b/>
          <w:bCs/>
          <w:color w:val="000000"/>
          <w:u w:val="single"/>
        </w:rPr>
        <w:t xml:space="preserve">Qualifying Training Services </w:t>
      </w:r>
    </w:p>
    <w:p w14:paraId="69B1A996" w14:textId="77777777" w:rsidR="00A4686C" w:rsidRPr="00064BC1" w:rsidRDefault="00A4686C" w:rsidP="00A4686C">
      <w:pPr>
        <w:widowControl/>
        <w:adjustRightInd w:val="0"/>
        <w:rPr>
          <w:rFonts w:ascii="Arial" w:eastAsiaTheme="minorHAnsi" w:hAnsi="Arial" w:cs="Arial"/>
          <w:color w:val="000000"/>
          <w:u w:val="single"/>
        </w:rPr>
      </w:pPr>
    </w:p>
    <w:p w14:paraId="2DDB690C" w14:textId="5FC3C219" w:rsidR="00A4686C" w:rsidRPr="00654A02" w:rsidRDefault="00A4686C" w:rsidP="00A4686C">
      <w:pPr>
        <w:widowControl/>
        <w:adjustRightInd w:val="0"/>
        <w:rPr>
          <w:rFonts w:ascii="Arial" w:eastAsiaTheme="minorHAnsi" w:hAnsi="Arial" w:cs="Arial"/>
          <w:color w:val="000000"/>
        </w:rPr>
      </w:pPr>
      <w:proofErr w:type="gramStart"/>
      <w:r w:rsidRPr="00654A02">
        <w:rPr>
          <w:rFonts w:ascii="Arial" w:eastAsiaTheme="minorHAnsi" w:hAnsi="Arial" w:cs="Arial"/>
          <w:color w:val="000000"/>
        </w:rPr>
        <w:t>In order to</w:t>
      </w:r>
      <w:proofErr w:type="gramEnd"/>
      <w:r w:rsidRPr="00654A02">
        <w:rPr>
          <w:rFonts w:ascii="Arial" w:eastAsiaTheme="minorHAnsi" w:hAnsi="Arial" w:cs="Arial"/>
          <w:color w:val="000000"/>
        </w:rPr>
        <w:t xml:space="preserve"> be applied toward the training expenditure requirement, training services must meet the following criteria: </w:t>
      </w:r>
    </w:p>
    <w:p w14:paraId="73FA146B" w14:textId="77777777" w:rsidR="00A4686C" w:rsidRPr="00654A02" w:rsidRDefault="00A4686C" w:rsidP="00A4686C">
      <w:pPr>
        <w:widowControl/>
        <w:adjustRightInd w:val="0"/>
        <w:rPr>
          <w:rFonts w:ascii="Arial" w:eastAsiaTheme="minorHAnsi" w:hAnsi="Arial" w:cs="Arial"/>
          <w:color w:val="000000"/>
        </w:rPr>
      </w:pPr>
    </w:p>
    <w:p w14:paraId="793EA208" w14:textId="77777777" w:rsidR="00A4686C" w:rsidRPr="00654A02" w:rsidRDefault="00A4686C" w:rsidP="00064BC1">
      <w:pPr>
        <w:pStyle w:val="ListParagraph"/>
        <w:widowControl/>
        <w:numPr>
          <w:ilvl w:val="0"/>
          <w:numId w:val="7"/>
        </w:numPr>
        <w:adjustRightInd w:val="0"/>
        <w:rPr>
          <w:rFonts w:ascii="Arial" w:eastAsiaTheme="minorHAnsi" w:hAnsi="Arial" w:cs="Arial"/>
          <w:color w:val="000000"/>
        </w:rPr>
      </w:pPr>
      <w:r w:rsidRPr="00654A02">
        <w:rPr>
          <w:rFonts w:ascii="Arial" w:eastAsiaTheme="minorHAnsi" w:hAnsi="Arial" w:cs="Arial"/>
          <w:color w:val="000000"/>
        </w:rPr>
        <w:t xml:space="preserve">Must be provided to WIOA adult or dislocated worker participants enrolled in a training activity in </w:t>
      </w:r>
      <w:proofErr w:type="spellStart"/>
      <w:r w:rsidRPr="00654A02">
        <w:rPr>
          <w:rFonts w:ascii="Arial" w:eastAsiaTheme="minorHAnsi" w:hAnsi="Arial" w:cs="Arial"/>
          <w:color w:val="000000"/>
        </w:rPr>
        <w:t>CalJOBS</w:t>
      </w:r>
      <w:r w:rsidRPr="00654A02">
        <w:rPr>
          <w:rFonts w:ascii="Arial" w:eastAsiaTheme="minorHAnsi" w:hAnsi="Arial" w:cs="Arial"/>
          <w:color w:val="000000"/>
          <w:vertAlign w:val="superscript"/>
        </w:rPr>
        <w:t>SM</w:t>
      </w:r>
      <w:proofErr w:type="spellEnd"/>
      <w:r w:rsidRPr="00654A02">
        <w:rPr>
          <w:rFonts w:ascii="Arial" w:eastAsiaTheme="minorHAnsi" w:hAnsi="Arial" w:cs="Arial"/>
          <w:color w:val="000000"/>
        </w:rPr>
        <w:t xml:space="preserve">. </w:t>
      </w:r>
    </w:p>
    <w:p w14:paraId="68FF8CAD" w14:textId="77777777" w:rsidR="00A4686C" w:rsidRPr="00654A02" w:rsidRDefault="00A4686C" w:rsidP="00064BC1">
      <w:pPr>
        <w:pStyle w:val="ListParagraph"/>
        <w:widowControl/>
        <w:numPr>
          <w:ilvl w:val="0"/>
          <w:numId w:val="7"/>
        </w:numPr>
        <w:adjustRightInd w:val="0"/>
        <w:rPr>
          <w:rFonts w:ascii="Arial" w:eastAsiaTheme="minorHAnsi" w:hAnsi="Arial" w:cs="Arial"/>
          <w:color w:val="000000"/>
        </w:rPr>
      </w:pPr>
      <w:r w:rsidRPr="00654A02">
        <w:rPr>
          <w:rFonts w:ascii="Arial" w:eastAsiaTheme="minorHAnsi" w:hAnsi="Arial" w:cs="Arial"/>
          <w:color w:val="000000"/>
        </w:rPr>
        <w:t xml:space="preserve">Must meet the definition of training services provided in WIOA Section 134(c)(3)(D): </w:t>
      </w:r>
    </w:p>
    <w:p w14:paraId="4AEF5119" w14:textId="77777777" w:rsidR="00A4686C" w:rsidRPr="00654A02" w:rsidRDefault="00A4686C" w:rsidP="00A4686C">
      <w:pPr>
        <w:pStyle w:val="ListParagraph"/>
        <w:widowControl/>
        <w:adjustRightInd w:val="0"/>
        <w:ind w:left="720" w:firstLine="0"/>
        <w:rPr>
          <w:rFonts w:ascii="Arial" w:eastAsiaTheme="minorHAnsi" w:hAnsi="Arial" w:cs="Arial"/>
          <w:color w:val="000000"/>
        </w:rPr>
      </w:pPr>
    </w:p>
    <w:p w14:paraId="0F11C098" w14:textId="2EC4B20C" w:rsidR="00A4686C" w:rsidRPr="00654A02" w:rsidRDefault="00A4686C" w:rsidP="00A4686C">
      <w:pPr>
        <w:pStyle w:val="ListParagraph"/>
        <w:widowControl/>
        <w:adjustRightInd w:val="0"/>
        <w:ind w:left="720" w:firstLine="0"/>
        <w:rPr>
          <w:rFonts w:ascii="Arial" w:eastAsiaTheme="minorHAnsi" w:hAnsi="Arial" w:cs="Arial"/>
          <w:color w:val="000000"/>
        </w:rPr>
      </w:pPr>
      <w:r w:rsidRPr="00654A02">
        <w:rPr>
          <w:rFonts w:ascii="Arial" w:eastAsiaTheme="minorHAnsi" w:hAnsi="Arial" w:cs="Arial"/>
          <w:color w:val="000000"/>
        </w:rPr>
        <w:t xml:space="preserve">Training services may include the following: </w:t>
      </w:r>
    </w:p>
    <w:p w14:paraId="37163719" w14:textId="5A0704A5" w:rsidR="00A4686C" w:rsidRPr="00654A02" w:rsidRDefault="00A4686C" w:rsidP="00064BC1">
      <w:pPr>
        <w:pStyle w:val="ListParagraph"/>
        <w:widowControl/>
        <w:numPr>
          <w:ilvl w:val="0"/>
          <w:numId w:val="8"/>
        </w:numPr>
        <w:adjustRightInd w:val="0"/>
        <w:rPr>
          <w:rFonts w:ascii="Arial" w:eastAsiaTheme="minorHAnsi" w:hAnsi="Arial" w:cs="Arial"/>
          <w:color w:val="000000"/>
        </w:rPr>
      </w:pPr>
      <w:r w:rsidRPr="00654A02">
        <w:rPr>
          <w:rFonts w:ascii="Arial" w:eastAsiaTheme="minorHAnsi" w:hAnsi="Arial" w:cs="Arial"/>
          <w:color w:val="000000"/>
        </w:rPr>
        <w:t xml:space="preserve">Occupational skills training, including training for nontraditional employment. </w:t>
      </w:r>
    </w:p>
    <w:p w14:paraId="6A4C968B" w14:textId="5A4A229A" w:rsidR="00A4686C" w:rsidRPr="00654A02" w:rsidRDefault="00A4686C" w:rsidP="00064BC1">
      <w:pPr>
        <w:pStyle w:val="ListParagraph"/>
        <w:widowControl/>
        <w:numPr>
          <w:ilvl w:val="0"/>
          <w:numId w:val="8"/>
        </w:numPr>
        <w:adjustRightInd w:val="0"/>
        <w:rPr>
          <w:rFonts w:ascii="Arial" w:eastAsiaTheme="minorHAnsi" w:hAnsi="Arial" w:cs="Arial"/>
          <w:color w:val="000000"/>
        </w:rPr>
      </w:pPr>
      <w:r w:rsidRPr="00654A02">
        <w:rPr>
          <w:rFonts w:ascii="Arial" w:eastAsiaTheme="minorHAnsi" w:hAnsi="Arial" w:cs="Arial"/>
          <w:color w:val="000000"/>
        </w:rPr>
        <w:t xml:space="preserve">On-the-job training. </w:t>
      </w:r>
    </w:p>
    <w:p w14:paraId="173831E2" w14:textId="691E6707" w:rsidR="00A4686C" w:rsidRPr="00654A02" w:rsidRDefault="00A4686C" w:rsidP="00064BC1">
      <w:pPr>
        <w:pStyle w:val="ListParagraph"/>
        <w:widowControl/>
        <w:numPr>
          <w:ilvl w:val="0"/>
          <w:numId w:val="8"/>
        </w:numPr>
        <w:adjustRightInd w:val="0"/>
        <w:rPr>
          <w:rFonts w:ascii="Arial" w:eastAsiaTheme="minorHAnsi" w:hAnsi="Arial" w:cs="Arial"/>
          <w:color w:val="000000"/>
        </w:rPr>
      </w:pPr>
      <w:r w:rsidRPr="00654A02">
        <w:rPr>
          <w:rFonts w:ascii="Arial" w:eastAsiaTheme="minorHAnsi" w:hAnsi="Arial" w:cs="Arial"/>
          <w:color w:val="000000"/>
        </w:rPr>
        <w:t xml:space="preserve">Incumbent worker training. </w:t>
      </w:r>
    </w:p>
    <w:p w14:paraId="61DE6758" w14:textId="4E6365C3" w:rsidR="00A4686C" w:rsidRPr="00654A02" w:rsidRDefault="00A4686C" w:rsidP="00064BC1">
      <w:pPr>
        <w:pStyle w:val="ListParagraph"/>
        <w:widowControl/>
        <w:numPr>
          <w:ilvl w:val="0"/>
          <w:numId w:val="8"/>
        </w:numPr>
        <w:adjustRightInd w:val="0"/>
        <w:rPr>
          <w:rFonts w:ascii="Arial" w:eastAsiaTheme="minorHAnsi" w:hAnsi="Arial" w:cs="Arial"/>
          <w:color w:val="000000"/>
        </w:rPr>
      </w:pPr>
      <w:r w:rsidRPr="00654A02">
        <w:rPr>
          <w:rFonts w:ascii="Arial" w:eastAsiaTheme="minorHAnsi" w:hAnsi="Arial" w:cs="Arial"/>
          <w:color w:val="000000"/>
        </w:rPr>
        <w:t xml:space="preserve">Programs that combine workplace training with related instruction, which may include cooperative education programs. </w:t>
      </w:r>
    </w:p>
    <w:p w14:paraId="2C2F764F" w14:textId="5643CB19" w:rsidR="00A4686C" w:rsidRPr="00654A02" w:rsidRDefault="00A4686C" w:rsidP="00064BC1">
      <w:pPr>
        <w:pStyle w:val="ListParagraph"/>
        <w:widowControl/>
        <w:numPr>
          <w:ilvl w:val="0"/>
          <w:numId w:val="8"/>
        </w:numPr>
        <w:adjustRightInd w:val="0"/>
        <w:rPr>
          <w:rFonts w:ascii="Arial" w:eastAsiaTheme="minorHAnsi" w:hAnsi="Arial" w:cs="Arial"/>
          <w:color w:val="000000"/>
        </w:rPr>
      </w:pPr>
      <w:r w:rsidRPr="00654A02">
        <w:rPr>
          <w:rFonts w:ascii="Arial" w:eastAsiaTheme="minorHAnsi" w:hAnsi="Arial" w:cs="Arial"/>
          <w:color w:val="000000"/>
        </w:rPr>
        <w:t xml:space="preserve">Training programs operated by the private sector. </w:t>
      </w:r>
    </w:p>
    <w:p w14:paraId="33DA7849" w14:textId="01D34F15" w:rsidR="00A4686C" w:rsidRPr="00654A02" w:rsidRDefault="00A4686C" w:rsidP="00064BC1">
      <w:pPr>
        <w:pStyle w:val="ListParagraph"/>
        <w:widowControl/>
        <w:numPr>
          <w:ilvl w:val="0"/>
          <w:numId w:val="8"/>
        </w:numPr>
        <w:adjustRightInd w:val="0"/>
        <w:rPr>
          <w:rFonts w:ascii="Arial" w:eastAsiaTheme="minorHAnsi" w:hAnsi="Arial" w:cs="Arial"/>
          <w:color w:val="000000"/>
        </w:rPr>
      </w:pPr>
      <w:r w:rsidRPr="00654A02">
        <w:rPr>
          <w:rFonts w:ascii="Arial" w:eastAsiaTheme="minorHAnsi" w:hAnsi="Arial" w:cs="Arial"/>
          <w:color w:val="000000"/>
        </w:rPr>
        <w:t xml:space="preserve">Skill upgrading and retraining. </w:t>
      </w:r>
    </w:p>
    <w:p w14:paraId="5F455C36" w14:textId="228D99AB" w:rsidR="00A4686C" w:rsidRPr="00654A02" w:rsidRDefault="00A4686C" w:rsidP="00064BC1">
      <w:pPr>
        <w:pStyle w:val="ListParagraph"/>
        <w:widowControl/>
        <w:numPr>
          <w:ilvl w:val="0"/>
          <w:numId w:val="8"/>
        </w:numPr>
        <w:adjustRightInd w:val="0"/>
        <w:rPr>
          <w:rFonts w:ascii="Arial" w:eastAsiaTheme="minorHAnsi" w:hAnsi="Arial" w:cs="Arial"/>
          <w:color w:val="000000"/>
        </w:rPr>
      </w:pPr>
      <w:r w:rsidRPr="00654A02">
        <w:rPr>
          <w:rFonts w:ascii="Arial" w:eastAsiaTheme="minorHAnsi" w:hAnsi="Arial" w:cs="Arial"/>
          <w:color w:val="000000"/>
        </w:rPr>
        <w:t xml:space="preserve">Entrepreneurial training. </w:t>
      </w:r>
    </w:p>
    <w:p w14:paraId="02EF7FB4" w14:textId="2D4D0214" w:rsidR="00A4686C" w:rsidRPr="00654A02" w:rsidRDefault="00A4686C" w:rsidP="00064BC1">
      <w:pPr>
        <w:pStyle w:val="ListParagraph"/>
        <w:widowControl/>
        <w:numPr>
          <w:ilvl w:val="0"/>
          <w:numId w:val="8"/>
        </w:numPr>
        <w:adjustRightInd w:val="0"/>
        <w:rPr>
          <w:rFonts w:ascii="Arial" w:eastAsiaTheme="minorHAnsi" w:hAnsi="Arial" w:cs="Arial"/>
          <w:color w:val="000000"/>
        </w:rPr>
      </w:pPr>
      <w:r w:rsidRPr="00654A02">
        <w:rPr>
          <w:rFonts w:ascii="Arial" w:eastAsiaTheme="minorHAnsi" w:hAnsi="Arial" w:cs="Arial"/>
          <w:color w:val="000000"/>
        </w:rPr>
        <w:t xml:space="preserve">Transitional jobs. </w:t>
      </w:r>
    </w:p>
    <w:p w14:paraId="3902C813" w14:textId="7E557248" w:rsidR="00A4686C" w:rsidRPr="00654A02" w:rsidRDefault="00A4686C" w:rsidP="00064BC1">
      <w:pPr>
        <w:pStyle w:val="ListParagraph"/>
        <w:widowControl/>
        <w:numPr>
          <w:ilvl w:val="0"/>
          <w:numId w:val="8"/>
        </w:numPr>
        <w:adjustRightInd w:val="0"/>
        <w:rPr>
          <w:rFonts w:ascii="Arial" w:eastAsiaTheme="minorHAnsi" w:hAnsi="Arial" w:cs="Arial"/>
          <w:color w:val="000000"/>
        </w:rPr>
      </w:pPr>
      <w:r w:rsidRPr="00654A02">
        <w:rPr>
          <w:rFonts w:ascii="Arial" w:eastAsiaTheme="minorHAnsi" w:hAnsi="Arial" w:cs="Arial"/>
          <w:color w:val="000000"/>
        </w:rPr>
        <w:t xml:space="preserve">Job readiness training provided in combination with any of the services in (a)-(h). </w:t>
      </w:r>
    </w:p>
    <w:p w14:paraId="4C87BA8D" w14:textId="2F0E3D20" w:rsidR="00A4686C" w:rsidRPr="00654A02" w:rsidRDefault="00A4686C" w:rsidP="00064BC1">
      <w:pPr>
        <w:pStyle w:val="ListParagraph"/>
        <w:widowControl/>
        <w:numPr>
          <w:ilvl w:val="0"/>
          <w:numId w:val="8"/>
        </w:numPr>
        <w:adjustRightInd w:val="0"/>
        <w:rPr>
          <w:rFonts w:ascii="Arial" w:eastAsiaTheme="minorHAnsi" w:hAnsi="Arial" w:cs="Arial"/>
          <w:color w:val="000000"/>
        </w:rPr>
      </w:pPr>
      <w:r w:rsidRPr="00654A02">
        <w:rPr>
          <w:rFonts w:ascii="Arial" w:eastAsiaTheme="minorHAnsi" w:hAnsi="Arial" w:cs="Arial"/>
          <w:color w:val="000000"/>
        </w:rPr>
        <w:t xml:space="preserve">Adult education and literacy activities provided concurrently or in combination with any of the services in (a)-(g). </w:t>
      </w:r>
    </w:p>
    <w:p w14:paraId="0E0C9E26" w14:textId="504BCFF6" w:rsidR="00A4686C" w:rsidRPr="00654A02" w:rsidRDefault="00A4686C" w:rsidP="00064BC1">
      <w:pPr>
        <w:pStyle w:val="ListParagraph"/>
        <w:widowControl/>
        <w:numPr>
          <w:ilvl w:val="0"/>
          <w:numId w:val="8"/>
        </w:numPr>
        <w:adjustRightInd w:val="0"/>
        <w:rPr>
          <w:rFonts w:ascii="Arial" w:eastAsiaTheme="minorHAnsi" w:hAnsi="Arial" w:cs="Arial"/>
          <w:color w:val="000000"/>
        </w:rPr>
      </w:pPr>
      <w:r w:rsidRPr="00654A02">
        <w:rPr>
          <w:rFonts w:ascii="Arial" w:eastAsiaTheme="minorHAnsi" w:hAnsi="Arial" w:cs="Arial"/>
          <w:color w:val="000000"/>
        </w:rPr>
        <w:t xml:space="preserve">Customized training conducted with a commitment by an employer or group of employers to employ an individual upon successful completion of the training. </w:t>
      </w:r>
    </w:p>
    <w:p w14:paraId="151BD300" w14:textId="77777777" w:rsidR="00A4686C" w:rsidRPr="00654A02" w:rsidRDefault="00A4686C" w:rsidP="00A4686C">
      <w:pPr>
        <w:widowControl/>
        <w:adjustRightInd w:val="0"/>
        <w:rPr>
          <w:rFonts w:ascii="Arial" w:eastAsiaTheme="minorHAnsi" w:hAnsi="Arial" w:cs="Arial"/>
          <w:color w:val="000000"/>
        </w:rPr>
      </w:pPr>
    </w:p>
    <w:p w14:paraId="11360837" w14:textId="77777777" w:rsidR="00A4686C" w:rsidRPr="00654A02" w:rsidRDefault="00A4686C" w:rsidP="00064BC1">
      <w:pPr>
        <w:pStyle w:val="ListParagraph"/>
        <w:widowControl/>
        <w:numPr>
          <w:ilvl w:val="0"/>
          <w:numId w:val="7"/>
        </w:numPr>
        <w:adjustRightInd w:val="0"/>
        <w:rPr>
          <w:rFonts w:ascii="Arial" w:eastAsiaTheme="minorHAnsi" w:hAnsi="Arial" w:cs="Arial"/>
          <w:color w:val="000000"/>
        </w:rPr>
      </w:pPr>
      <w:r w:rsidRPr="00654A02">
        <w:rPr>
          <w:rFonts w:ascii="Arial" w:eastAsiaTheme="minorHAnsi" w:hAnsi="Arial" w:cs="Arial"/>
          <w:color w:val="000000"/>
        </w:rPr>
        <w:t xml:space="preserve">Must meet the definition of a training service as provided in Title 20 CFR Section 680.420: </w:t>
      </w:r>
    </w:p>
    <w:p w14:paraId="6FC82D29" w14:textId="77777777" w:rsidR="00A4686C" w:rsidRPr="00654A02" w:rsidRDefault="00A4686C" w:rsidP="00A4686C">
      <w:pPr>
        <w:pStyle w:val="ListParagraph"/>
        <w:widowControl/>
        <w:adjustRightInd w:val="0"/>
        <w:ind w:left="720" w:firstLine="0"/>
        <w:rPr>
          <w:rFonts w:ascii="Arial" w:eastAsiaTheme="minorHAnsi" w:hAnsi="Arial" w:cs="Arial"/>
          <w:color w:val="000000"/>
        </w:rPr>
      </w:pPr>
    </w:p>
    <w:p w14:paraId="3694B8E4" w14:textId="60E5ED29" w:rsidR="00A4686C" w:rsidRPr="00654A02" w:rsidRDefault="00A4686C" w:rsidP="00A4686C">
      <w:pPr>
        <w:pStyle w:val="ListParagraph"/>
        <w:widowControl/>
        <w:adjustRightInd w:val="0"/>
        <w:ind w:left="720" w:firstLine="0"/>
        <w:rPr>
          <w:rFonts w:ascii="Arial" w:eastAsiaTheme="minorHAnsi" w:hAnsi="Arial" w:cs="Arial"/>
          <w:color w:val="000000"/>
        </w:rPr>
      </w:pPr>
      <w:r w:rsidRPr="00654A02">
        <w:rPr>
          <w:rFonts w:ascii="Arial" w:eastAsiaTheme="minorHAnsi" w:hAnsi="Arial" w:cs="Arial"/>
          <w:color w:val="000000"/>
        </w:rPr>
        <w:t xml:space="preserve">A program of training services is one or more courses or classes, or a structured regimen that provides the services in Title 20 CFR Section 680.200 and leads to one of the following: </w:t>
      </w:r>
    </w:p>
    <w:p w14:paraId="0285E37D" w14:textId="6D7973FB" w:rsidR="00A4686C" w:rsidRPr="00654A02" w:rsidRDefault="00A4686C" w:rsidP="00064BC1">
      <w:pPr>
        <w:pStyle w:val="ListParagraph"/>
        <w:widowControl/>
        <w:numPr>
          <w:ilvl w:val="0"/>
          <w:numId w:val="9"/>
        </w:numPr>
        <w:adjustRightInd w:val="0"/>
        <w:rPr>
          <w:rFonts w:ascii="Arial" w:eastAsiaTheme="minorHAnsi" w:hAnsi="Arial" w:cs="Arial"/>
          <w:color w:val="000000"/>
        </w:rPr>
      </w:pPr>
      <w:r w:rsidRPr="00654A02">
        <w:rPr>
          <w:rFonts w:ascii="Arial" w:eastAsiaTheme="minorHAnsi" w:hAnsi="Arial" w:cs="Arial"/>
          <w:color w:val="000000"/>
        </w:rPr>
        <w:t xml:space="preserve">An industry-recognized certificate or certification, a certificate of completion of a registered apprenticeship, a license recognized by the state involved or the federal government, an associate or baccalaureate degree. </w:t>
      </w:r>
    </w:p>
    <w:p w14:paraId="6574F206" w14:textId="67634836" w:rsidR="00A4686C" w:rsidRPr="00654A02" w:rsidRDefault="00A4686C" w:rsidP="00064BC1">
      <w:pPr>
        <w:pStyle w:val="ListParagraph"/>
        <w:widowControl/>
        <w:numPr>
          <w:ilvl w:val="0"/>
          <w:numId w:val="9"/>
        </w:numPr>
        <w:adjustRightInd w:val="0"/>
        <w:rPr>
          <w:rFonts w:ascii="Arial" w:eastAsiaTheme="minorHAnsi" w:hAnsi="Arial" w:cs="Arial"/>
          <w:color w:val="000000"/>
        </w:rPr>
      </w:pPr>
      <w:r w:rsidRPr="00654A02">
        <w:rPr>
          <w:rFonts w:ascii="Arial" w:eastAsiaTheme="minorHAnsi" w:hAnsi="Arial" w:cs="Arial"/>
          <w:color w:val="000000"/>
        </w:rPr>
        <w:t xml:space="preserve">A secondary school diploma or its equivalent. </w:t>
      </w:r>
    </w:p>
    <w:p w14:paraId="5275B230" w14:textId="66D62C56" w:rsidR="00A4686C" w:rsidRPr="00654A02" w:rsidRDefault="00A4686C" w:rsidP="00064BC1">
      <w:pPr>
        <w:pStyle w:val="ListParagraph"/>
        <w:widowControl/>
        <w:numPr>
          <w:ilvl w:val="0"/>
          <w:numId w:val="9"/>
        </w:numPr>
        <w:adjustRightInd w:val="0"/>
        <w:rPr>
          <w:rFonts w:ascii="Arial" w:eastAsiaTheme="minorHAnsi" w:hAnsi="Arial" w:cs="Arial"/>
          <w:color w:val="000000"/>
        </w:rPr>
      </w:pPr>
      <w:r w:rsidRPr="00654A02">
        <w:rPr>
          <w:rFonts w:ascii="Arial" w:eastAsiaTheme="minorHAnsi" w:hAnsi="Arial" w:cs="Arial"/>
          <w:color w:val="000000"/>
        </w:rPr>
        <w:t xml:space="preserve">Employment. </w:t>
      </w:r>
    </w:p>
    <w:p w14:paraId="0841BC66" w14:textId="416FCE96" w:rsidR="00A4686C" w:rsidRPr="00654A02" w:rsidRDefault="00A4686C" w:rsidP="00064BC1">
      <w:pPr>
        <w:pStyle w:val="ListParagraph"/>
        <w:widowControl/>
        <w:numPr>
          <w:ilvl w:val="0"/>
          <w:numId w:val="9"/>
        </w:numPr>
        <w:adjustRightInd w:val="0"/>
        <w:rPr>
          <w:rFonts w:ascii="Arial" w:eastAsiaTheme="minorHAnsi" w:hAnsi="Arial" w:cs="Arial"/>
          <w:color w:val="000000"/>
        </w:rPr>
      </w:pPr>
      <w:r w:rsidRPr="00654A02">
        <w:rPr>
          <w:rFonts w:ascii="Arial" w:eastAsiaTheme="minorHAnsi" w:hAnsi="Arial" w:cs="Arial"/>
          <w:color w:val="000000"/>
        </w:rPr>
        <w:t xml:space="preserve">Measurable skill gains toward a credential described in (a) or (b) above, or employment. </w:t>
      </w:r>
    </w:p>
    <w:p w14:paraId="5CE54A2D" w14:textId="77777777" w:rsidR="00A4686C" w:rsidRPr="00654A02" w:rsidRDefault="00A4686C" w:rsidP="00A4686C">
      <w:pPr>
        <w:widowControl/>
        <w:adjustRightInd w:val="0"/>
        <w:rPr>
          <w:rFonts w:ascii="Arial" w:eastAsiaTheme="minorHAnsi" w:hAnsi="Arial" w:cs="Arial"/>
          <w:color w:val="000000"/>
        </w:rPr>
      </w:pPr>
    </w:p>
    <w:p w14:paraId="2F4D058B" w14:textId="77777777" w:rsidR="00A4686C" w:rsidRPr="00654A02" w:rsidRDefault="00A4686C" w:rsidP="00064BC1">
      <w:pPr>
        <w:pStyle w:val="ListParagraph"/>
        <w:widowControl/>
        <w:numPr>
          <w:ilvl w:val="0"/>
          <w:numId w:val="7"/>
        </w:numPr>
        <w:adjustRightInd w:val="0"/>
        <w:rPr>
          <w:rFonts w:ascii="Arial" w:eastAsiaTheme="minorHAnsi" w:hAnsi="Arial" w:cs="Arial"/>
          <w:color w:val="000000"/>
        </w:rPr>
      </w:pPr>
      <w:r w:rsidRPr="00654A02">
        <w:rPr>
          <w:rFonts w:ascii="Arial" w:eastAsiaTheme="minorHAnsi" w:hAnsi="Arial" w:cs="Arial"/>
          <w:color w:val="000000"/>
        </w:rPr>
        <w:t xml:space="preserve">Must pass the following three-pronged test: </w:t>
      </w:r>
    </w:p>
    <w:p w14:paraId="56EA5CDA" w14:textId="77777777" w:rsidR="00A4686C" w:rsidRPr="00654A02" w:rsidRDefault="00A4686C" w:rsidP="00064BC1">
      <w:pPr>
        <w:pStyle w:val="ListParagraph"/>
        <w:widowControl/>
        <w:numPr>
          <w:ilvl w:val="0"/>
          <w:numId w:val="10"/>
        </w:numPr>
        <w:adjustRightInd w:val="0"/>
        <w:rPr>
          <w:rFonts w:ascii="Arial" w:eastAsiaTheme="minorHAnsi" w:hAnsi="Arial" w:cs="Arial"/>
          <w:color w:val="000000"/>
        </w:rPr>
      </w:pPr>
      <w:r w:rsidRPr="00654A02">
        <w:rPr>
          <w:rFonts w:ascii="Arial" w:eastAsiaTheme="minorHAnsi" w:hAnsi="Arial" w:cs="Arial"/>
          <w:color w:val="000000"/>
        </w:rPr>
        <w:t xml:space="preserve">Is the service defined as a basic or individualized career service under WIOA? If so, the service </w:t>
      </w:r>
      <w:r w:rsidRPr="00654A02">
        <w:rPr>
          <w:rFonts w:ascii="Arial" w:eastAsiaTheme="minorHAnsi" w:hAnsi="Arial" w:cs="Arial"/>
          <w:i/>
          <w:iCs/>
          <w:color w:val="000000"/>
        </w:rPr>
        <w:t xml:space="preserve">cannot </w:t>
      </w:r>
      <w:r w:rsidRPr="00654A02">
        <w:rPr>
          <w:rFonts w:ascii="Arial" w:eastAsiaTheme="minorHAnsi" w:hAnsi="Arial" w:cs="Arial"/>
          <w:color w:val="000000"/>
        </w:rPr>
        <w:t xml:space="preserve">be counted toward the training expenditure requirement. </w:t>
      </w:r>
    </w:p>
    <w:p w14:paraId="4F66A1CF" w14:textId="77777777" w:rsidR="00A4686C" w:rsidRPr="00654A02" w:rsidRDefault="00A4686C" w:rsidP="00064BC1">
      <w:pPr>
        <w:pStyle w:val="ListParagraph"/>
        <w:widowControl/>
        <w:numPr>
          <w:ilvl w:val="0"/>
          <w:numId w:val="10"/>
        </w:numPr>
        <w:adjustRightInd w:val="0"/>
        <w:rPr>
          <w:rFonts w:ascii="Arial" w:eastAsiaTheme="minorHAnsi" w:hAnsi="Arial" w:cs="Arial"/>
          <w:color w:val="000000"/>
        </w:rPr>
      </w:pPr>
      <w:r w:rsidRPr="00654A02">
        <w:rPr>
          <w:rFonts w:ascii="Arial" w:eastAsiaTheme="minorHAnsi" w:hAnsi="Arial" w:cs="Arial"/>
          <w:color w:val="000000"/>
        </w:rPr>
        <w:t xml:space="preserve">Is the service defined as training under WIOA section 134(c)(3)(D)? If so, the service </w:t>
      </w:r>
      <w:r w:rsidRPr="00654A02">
        <w:rPr>
          <w:rFonts w:ascii="Arial" w:eastAsiaTheme="minorHAnsi" w:hAnsi="Arial" w:cs="Arial"/>
          <w:i/>
          <w:iCs/>
          <w:color w:val="000000"/>
        </w:rPr>
        <w:t xml:space="preserve">can </w:t>
      </w:r>
      <w:r w:rsidRPr="00654A02">
        <w:rPr>
          <w:rFonts w:ascii="Arial" w:eastAsiaTheme="minorHAnsi" w:hAnsi="Arial" w:cs="Arial"/>
          <w:color w:val="000000"/>
        </w:rPr>
        <w:t xml:space="preserve">be counted toward the training expenditure requirement. </w:t>
      </w:r>
    </w:p>
    <w:p w14:paraId="5AF5780B" w14:textId="77777777" w:rsidR="00A4686C" w:rsidRPr="00654A02" w:rsidRDefault="00A4686C" w:rsidP="00064BC1">
      <w:pPr>
        <w:pStyle w:val="ListParagraph"/>
        <w:widowControl/>
        <w:numPr>
          <w:ilvl w:val="0"/>
          <w:numId w:val="10"/>
        </w:numPr>
        <w:adjustRightInd w:val="0"/>
        <w:rPr>
          <w:rFonts w:ascii="Arial" w:eastAsiaTheme="minorHAnsi" w:hAnsi="Arial" w:cs="Arial"/>
          <w:color w:val="000000"/>
        </w:rPr>
      </w:pPr>
      <w:r w:rsidRPr="00654A02">
        <w:rPr>
          <w:rFonts w:ascii="Arial" w:eastAsiaTheme="minorHAnsi" w:hAnsi="Arial" w:cs="Arial"/>
          <w:color w:val="000000"/>
        </w:rPr>
        <w:t xml:space="preserve">Is the service not listed under WIOA section 134(c)(3)(D) but meets the definition of training in Title 20 CFR Section 680.420? If so, the service </w:t>
      </w:r>
      <w:r w:rsidRPr="00654A02">
        <w:rPr>
          <w:rFonts w:ascii="Arial" w:eastAsiaTheme="minorHAnsi" w:hAnsi="Arial" w:cs="Arial"/>
          <w:i/>
          <w:iCs/>
          <w:color w:val="000000"/>
        </w:rPr>
        <w:t xml:space="preserve">can </w:t>
      </w:r>
      <w:r w:rsidRPr="00654A02">
        <w:rPr>
          <w:rFonts w:ascii="Arial" w:eastAsiaTheme="minorHAnsi" w:hAnsi="Arial" w:cs="Arial"/>
          <w:color w:val="000000"/>
        </w:rPr>
        <w:t xml:space="preserve">be counted toward the training minimum. </w:t>
      </w:r>
    </w:p>
    <w:p w14:paraId="445EAA3D" w14:textId="77777777" w:rsidR="00A4686C" w:rsidRPr="00654A02" w:rsidRDefault="00A4686C" w:rsidP="00A4686C">
      <w:pPr>
        <w:pStyle w:val="ListParagraph"/>
        <w:widowControl/>
        <w:adjustRightInd w:val="0"/>
        <w:ind w:left="1440" w:firstLine="0"/>
        <w:rPr>
          <w:rFonts w:ascii="Arial" w:eastAsiaTheme="minorHAnsi" w:hAnsi="Arial" w:cs="Arial"/>
          <w:color w:val="000000"/>
        </w:rPr>
      </w:pPr>
    </w:p>
    <w:p w14:paraId="16B3E183" w14:textId="5F9DDD4C" w:rsidR="00A4686C" w:rsidRPr="00654A02" w:rsidRDefault="00A4686C" w:rsidP="00A4686C">
      <w:pPr>
        <w:widowControl/>
        <w:tabs>
          <w:tab w:val="left" w:pos="720"/>
        </w:tabs>
        <w:adjustRightInd w:val="0"/>
        <w:ind w:left="720"/>
        <w:rPr>
          <w:rFonts w:ascii="Arial" w:eastAsiaTheme="minorHAnsi" w:hAnsi="Arial" w:cs="Arial"/>
          <w:color w:val="000000"/>
        </w:rPr>
      </w:pPr>
      <w:r w:rsidRPr="00654A02">
        <w:rPr>
          <w:rFonts w:ascii="Arial" w:eastAsiaTheme="minorHAnsi" w:hAnsi="Arial" w:cs="Arial"/>
          <w:color w:val="000000"/>
        </w:rPr>
        <w:t xml:space="preserve">The determining factors are whether the services are provided through a structured learning process and whether this learning process leads to the attainment of skills or competencies needed to perform work duties </w:t>
      </w:r>
      <w:proofErr w:type="gramStart"/>
      <w:r w:rsidRPr="00654A02">
        <w:rPr>
          <w:rFonts w:ascii="Arial" w:eastAsiaTheme="minorHAnsi" w:hAnsi="Arial" w:cs="Arial"/>
          <w:color w:val="000000"/>
        </w:rPr>
        <w:t>during the course of</w:t>
      </w:r>
      <w:proofErr w:type="gramEnd"/>
      <w:r w:rsidRPr="00654A02">
        <w:rPr>
          <w:rFonts w:ascii="Arial" w:eastAsiaTheme="minorHAnsi" w:hAnsi="Arial" w:cs="Arial"/>
          <w:color w:val="000000"/>
        </w:rPr>
        <w:t xml:space="preserve"> the workday. In summary, the service should lead to employment and/or greater labor productivity on the job. </w:t>
      </w:r>
    </w:p>
    <w:p w14:paraId="463F82ED" w14:textId="0D8EA188" w:rsidR="00064BC1" w:rsidRPr="00654A02" w:rsidRDefault="00064BC1" w:rsidP="00A4686C">
      <w:pPr>
        <w:widowControl/>
        <w:tabs>
          <w:tab w:val="left" w:pos="720"/>
        </w:tabs>
        <w:adjustRightInd w:val="0"/>
        <w:ind w:left="720"/>
        <w:rPr>
          <w:rFonts w:ascii="Arial" w:eastAsiaTheme="minorHAnsi" w:hAnsi="Arial" w:cs="Arial"/>
          <w:color w:val="000000"/>
          <w:highlight w:val="yellow"/>
        </w:rPr>
      </w:pPr>
    </w:p>
    <w:p w14:paraId="703AFA50" w14:textId="0CED6C2F" w:rsidR="00064BC1" w:rsidRPr="00654A02" w:rsidRDefault="00064BC1" w:rsidP="00064BC1">
      <w:pPr>
        <w:widowControl/>
        <w:adjustRightInd w:val="0"/>
        <w:rPr>
          <w:rFonts w:ascii="Arial" w:eastAsiaTheme="minorHAnsi" w:hAnsi="Arial" w:cs="Arial"/>
          <w:b/>
          <w:bCs/>
          <w:color w:val="000000"/>
          <w:u w:val="single"/>
        </w:rPr>
      </w:pPr>
      <w:r w:rsidRPr="00654A02">
        <w:rPr>
          <w:rFonts w:ascii="Arial" w:eastAsiaTheme="minorHAnsi" w:hAnsi="Arial" w:cs="Arial"/>
          <w:b/>
          <w:bCs/>
          <w:color w:val="000000"/>
          <w:u w:val="single"/>
        </w:rPr>
        <w:t xml:space="preserve">Leveraged Resources </w:t>
      </w:r>
    </w:p>
    <w:p w14:paraId="0B5BF383" w14:textId="77777777" w:rsidR="00064BC1" w:rsidRPr="00654A02" w:rsidRDefault="00064BC1" w:rsidP="00064BC1">
      <w:pPr>
        <w:widowControl/>
        <w:adjustRightInd w:val="0"/>
        <w:rPr>
          <w:rFonts w:ascii="Arial" w:eastAsiaTheme="minorHAnsi" w:hAnsi="Arial" w:cs="Arial"/>
          <w:color w:val="000000"/>
          <w:u w:val="single"/>
        </w:rPr>
      </w:pPr>
    </w:p>
    <w:p w14:paraId="21A1CD3E" w14:textId="341A897B" w:rsidR="00064BC1" w:rsidRPr="00654A02" w:rsidRDefault="00064BC1" w:rsidP="00064BC1">
      <w:pPr>
        <w:widowControl/>
        <w:adjustRightInd w:val="0"/>
        <w:rPr>
          <w:rFonts w:ascii="Arial" w:eastAsiaTheme="minorHAnsi" w:hAnsi="Arial" w:cs="Arial"/>
          <w:i/>
          <w:iCs/>
          <w:color w:val="000000"/>
        </w:rPr>
      </w:pPr>
      <w:r w:rsidRPr="00654A02">
        <w:rPr>
          <w:rFonts w:ascii="Arial" w:eastAsiaTheme="minorHAnsi" w:hAnsi="Arial" w:cs="Arial"/>
          <w:i/>
          <w:iCs/>
          <w:color w:val="000000"/>
        </w:rPr>
        <w:t xml:space="preserve">Allowable Leveraged Resources </w:t>
      </w:r>
    </w:p>
    <w:p w14:paraId="791903A1" w14:textId="77777777" w:rsidR="00912D18" w:rsidRPr="00654A02" w:rsidRDefault="00912D18" w:rsidP="00064BC1">
      <w:pPr>
        <w:widowControl/>
        <w:adjustRightInd w:val="0"/>
        <w:rPr>
          <w:rFonts w:ascii="Arial" w:eastAsiaTheme="minorHAnsi" w:hAnsi="Arial" w:cs="Arial"/>
          <w:color w:val="000000"/>
        </w:rPr>
      </w:pPr>
    </w:p>
    <w:p w14:paraId="574B98DE" w14:textId="77777777" w:rsidR="00064BC1" w:rsidRPr="00654A02" w:rsidRDefault="00064BC1" w:rsidP="00064BC1">
      <w:pPr>
        <w:widowControl/>
        <w:adjustRightInd w:val="0"/>
        <w:rPr>
          <w:rFonts w:ascii="Arial" w:eastAsiaTheme="minorHAnsi" w:hAnsi="Arial" w:cs="Arial"/>
          <w:color w:val="000000"/>
        </w:rPr>
      </w:pPr>
      <w:r w:rsidRPr="00654A02">
        <w:rPr>
          <w:rFonts w:ascii="Arial" w:eastAsiaTheme="minorHAnsi" w:hAnsi="Arial" w:cs="Arial"/>
          <w:color w:val="000000"/>
        </w:rPr>
        <w:t xml:space="preserve">Local Boards may apply leveraged resources spent on training and supportive services toward meeting a portion of their minimum training expenditure requirement (an amount of up to 10 percent of their adult and dislocated worker formula fund allocation). Local Boards may apply only the leveraged funds listed below as part of the 10 percent credit: </w:t>
      </w:r>
    </w:p>
    <w:p w14:paraId="0A345238" w14:textId="4FAD306C" w:rsidR="00064BC1" w:rsidRPr="00654A02" w:rsidRDefault="00064BC1" w:rsidP="00912D18">
      <w:pPr>
        <w:pStyle w:val="ListParagraph"/>
        <w:widowControl/>
        <w:numPr>
          <w:ilvl w:val="0"/>
          <w:numId w:val="11"/>
        </w:numPr>
        <w:adjustRightInd w:val="0"/>
        <w:rPr>
          <w:rFonts w:ascii="Arial" w:eastAsiaTheme="minorHAnsi" w:hAnsi="Arial" w:cs="Arial"/>
          <w:color w:val="000000"/>
        </w:rPr>
      </w:pPr>
      <w:r w:rsidRPr="00654A02">
        <w:rPr>
          <w:rFonts w:ascii="Arial" w:eastAsiaTheme="minorHAnsi" w:hAnsi="Arial" w:cs="Arial"/>
          <w:color w:val="000000"/>
        </w:rPr>
        <w:t xml:space="preserve">Federal Pell Grants established under Title IV of the </w:t>
      </w:r>
      <w:r w:rsidRPr="00654A02">
        <w:rPr>
          <w:rFonts w:ascii="Arial" w:eastAsiaTheme="minorHAnsi" w:hAnsi="Arial" w:cs="Arial"/>
          <w:i/>
          <w:iCs/>
          <w:color w:val="000000"/>
        </w:rPr>
        <w:t xml:space="preserve">Higher Education Act </w:t>
      </w:r>
      <w:r w:rsidRPr="00654A02">
        <w:rPr>
          <w:rFonts w:ascii="Arial" w:eastAsiaTheme="minorHAnsi" w:hAnsi="Arial" w:cs="Arial"/>
          <w:color w:val="000000"/>
        </w:rPr>
        <w:t xml:space="preserve">of 1965. </w:t>
      </w:r>
    </w:p>
    <w:p w14:paraId="55CDB87C" w14:textId="03AE062C" w:rsidR="00064BC1" w:rsidRPr="00654A02" w:rsidRDefault="00064BC1" w:rsidP="00064BC1">
      <w:pPr>
        <w:pStyle w:val="ListParagraph"/>
        <w:widowControl/>
        <w:numPr>
          <w:ilvl w:val="0"/>
          <w:numId w:val="11"/>
        </w:numPr>
        <w:adjustRightInd w:val="0"/>
        <w:rPr>
          <w:rFonts w:ascii="Arial" w:eastAsiaTheme="minorHAnsi" w:hAnsi="Arial" w:cs="Arial"/>
          <w:color w:val="000000"/>
        </w:rPr>
      </w:pPr>
      <w:r w:rsidRPr="00654A02">
        <w:rPr>
          <w:rFonts w:ascii="Arial" w:eastAsiaTheme="minorHAnsi" w:hAnsi="Arial" w:cs="Arial"/>
          <w:color w:val="000000"/>
        </w:rPr>
        <w:t xml:space="preserve">Public programs authorized by the </w:t>
      </w:r>
      <w:r w:rsidRPr="00654A02">
        <w:rPr>
          <w:rFonts w:ascii="Arial" w:eastAsiaTheme="minorHAnsi" w:hAnsi="Arial" w:cs="Arial"/>
          <w:i/>
          <w:iCs/>
          <w:color w:val="000000"/>
        </w:rPr>
        <w:t xml:space="preserve">Workforce Innovation and Opportunity Act </w:t>
      </w:r>
      <w:r w:rsidRPr="00654A02">
        <w:rPr>
          <w:rFonts w:ascii="Arial" w:eastAsiaTheme="minorHAnsi" w:hAnsi="Arial" w:cs="Arial"/>
          <w:color w:val="000000"/>
        </w:rPr>
        <w:t xml:space="preserve">of 2014 (e.g., Job Corps, Migrant and Seasonal Farm Worker, Rapid Response, WIOA Title II Adult Education and Literacy, national and state WIOA discretionary grants, WIOA youth program, etc.). This category of leveraged resources does not include WIOA adult and dislocated worker formula funds. Local Boards are permitted to apply youth formula funds expended on training for individuals ages 18-24 as a leveraged resource if: (1) the individuals are co-enrolled in either the WIOA adult or dislocated worker program, and (2) the training meets all requirements set forth in this Directive. </w:t>
      </w:r>
    </w:p>
    <w:p w14:paraId="502B41B7" w14:textId="462F87C5" w:rsidR="00064BC1" w:rsidRPr="00654A02" w:rsidRDefault="00064BC1" w:rsidP="00912D18">
      <w:pPr>
        <w:pStyle w:val="ListParagraph"/>
        <w:widowControl/>
        <w:numPr>
          <w:ilvl w:val="0"/>
          <w:numId w:val="11"/>
        </w:numPr>
        <w:adjustRightInd w:val="0"/>
        <w:spacing w:after="3"/>
        <w:rPr>
          <w:rFonts w:ascii="Arial" w:eastAsiaTheme="minorHAnsi" w:hAnsi="Arial" w:cs="Arial"/>
          <w:color w:val="000000"/>
        </w:rPr>
      </w:pPr>
      <w:r w:rsidRPr="00654A02">
        <w:rPr>
          <w:rFonts w:ascii="Arial" w:eastAsiaTheme="minorHAnsi" w:hAnsi="Arial" w:cs="Arial"/>
          <w:color w:val="000000"/>
        </w:rPr>
        <w:t xml:space="preserve">Trade Adjustment Assistance. </w:t>
      </w:r>
    </w:p>
    <w:p w14:paraId="2684ED10" w14:textId="28787CD7" w:rsidR="00064BC1" w:rsidRPr="00654A02" w:rsidRDefault="00064BC1" w:rsidP="00912D18">
      <w:pPr>
        <w:pStyle w:val="ListParagraph"/>
        <w:widowControl/>
        <w:numPr>
          <w:ilvl w:val="0"/>
          <w:numId w:val="11"/>
        </w:numPr>
        <w:adjustRightInd w:val="0"/>
        <w:spacing w:after="3"/>
        <w:rPr>
          <w:rFonts w:ascii="Arial" w:eastAsiaTheme="minorHAnsi" w:hAnsi="Arial" w:cs="Arial"/>
          <w:color w:val="000000"/>
        </w:rPr>
      </w:pPr>
      <w:r w:rsidRPr="00654A02">
        <w:rPr>
          <w:rFonts w:ascii="Arial" w:eastAsiaTheme="minorHAnsi" w:hAnsi="Arial" w:cs="Arial"/>
          <w:color w:val="000000"/>
        </w:rPr>
        <w:t xml:space="preserve">Department of Labor National Emergency Grants. </w:t>
      </w:r>
    </w:p>
    <w:p w14:paraId="49B47690" w14:textId="2EB9C255" w:rsidR="00064BC1" w:rsidRPr="00654A02" w:rsidRDefault="00064BC1" w:rsidP="00064BC1">
      <w:pPr>
        <w:pStyle w:val="ListParagraph"/>
        <w:widowControl/>
        <w:numPr>
          <w:ilvl w:val="0"/>
          <w:numId w:val="11"/>
        </w:numPr>
        <w:adjustRightInd w:val="0"/>
        <w:rPr>
          <w:rFonts w:ascii="Arial" w:eastAsiaTheme="minorHAnsi" w:hAnsi="Arial" w:cs="Arial"/>
          <w:color w:val="000000"/>
        </w:rPr>
      </w:pPr>
      <w:r w:rsidRPr="00654A02">
        <w:rPr>
          <w:rFonts w:ascii="Arial" w:eastAsiaTheme="minorHAnsi" w:hAnsi="Arial" w:cs="Arial"/>
          <w:color w:val="000000"/>
        </w:rPr>
        <w:t xml:space="preserve">Match funds from employers, industry, and industry associations (including the employer paid portion of customized training, the wages of an apprentice during the apprenticeship period, and the employer paid portion of on-the-job training). </w:t>
      </w:r>
      <w:r w:rsidR="00654A02" w:rsidRPr="00654A02">
        <w:rPr>
          <w:rFonts w:ascii="Arial" w:eastAsiaTheme="minorHAnsi" w:hAnsi="Arial" w:cs="Arial"/>
          <w:color w:val="000000"/>
        </w:rPr>
        <w:t xml:space="preserve"> </w:t>
      </w:r>
      <w:r w:rsidRPr="00654A02">
        <w:rPr>
          <w:rFonts w:ascii="Arial" w:eastAsiaTheme="minorHAnsi" w:hAnsi="Arial" w:cs="Arial"/>
          <w:color w:val="000000"/>
        </w:rPr>
        <w:t xml:space="preserve">Note – Match funds from the employer paid portion of on-the-job training may only include the employer’s cost attributed to the participant’s training. See Attachment 2 for further details. </w:t>
      </w:r>
    </w:p>
    <w:p w14:paraId="2B35409D" w14:textId="2760F226" w:rsidR="00064BC1" w:rsidRPr="00654A02" w:rsidRDefault="00064BC1" w:rsidP="00654A02">
      <w:pPr>
        <w:pStyle w:val="ListParagraph"/>
        <w:widowControl/>
        <w:numPr>
          <w:ilvl w:val="0"/>
          <w:numId w:val="11"/>
        </w:numPr>
        <w:adjustRightInd w:val="0"/>
        <w:spacing w:after="3"/>
        <w:rPr>
          <w:rFonts w:ascii="Arial" w:eastAsiaTheme="minorHAnsi" w:hAnsi="Arial" w:cs="Arial"/>
          <w:color w:val="000000"/>
        </w:rPr>
      </w:pPr>
      <w:r w:rsidRPr="00654A02">
        <w:rPr>
          <w:rFonts w:ascii="Arial" w:eastAsiaTheme="minorHAnsi" w:hAnsi="Arial" w:cs="Arial"/>
          <w:color w:val="000000"/>
        </w:rPr>
        <w:t xml:space="preserve">Match funds from joint labor-management trusts. </w:t>
      </w:r>
    </w:p>
    <w:p w14:paraId="34FC99C2" w14:textId="4D366948" w:rsidR="00064BC1" w:rsidRPr="00654A02" w:rsidRDefault="00064BC1" w:rsidP="00654A02">
      <w:pPr>
        <w:pStyle w:val="ListParagraph"/>
        <w:widowControl/>
        <w:numPr>
          <w:ilvl w:val="0"/>
          <w:numId w:val="11"/>
        </w:numPr>
        <w:adjustRightInd w:val="0"/>
        <w:spacing w:after="3"/>
        <w:rPr>
          <w:rFonts w:ascii="Arial" w:eastAsiaTheme="minorHAnsi" w:hAnsi="Arial" w:cs="Arial"/>
          <w:color w:val="000000"/>
        </w:rPr>
      </w:pPr>
      <w:r w:rsidRPr="00654A02">
        <w:rPr>
          <w:rFonts w:ascii="Arial" w:eastAsiaTheme="minorHAnsi" w:hAnsi="Arial" w:cs="Arial"/>
          <w:color w:val="000000"/>
        </w:rPr>
        <w:t xml:space="preserve">7Employment Training Panel grants. </w:t>
      </w:r>
    </w:p>
    <w:p w14:paraId="59A36F55" w14:textId="76F5BE5D" w:rsidR="00064BC1" w:rsidRPr="00654A02" w:rsidRDefault="00064BC1" w:rsidP="00654A02">
      <w:pPr>
        <w:pStyle w:val="ListParagraph"/>
        <w:widowControl/>
        <w:numPr>
          <w:ilvl w:val="0"/>
          <w:numId w:val="11"/>
        </w:numPr>
        <w:adjustRightInd w:val="0"/>
        <w:spacing w:after="3"/>
        <w:rPr>
          <w:rFonts w:ascii="Arial" w:eastAsiaTheme="minorHAnsi" w:hAnsi="Arial" w:cs="Arial"/>
          <w:color w:val="000000"/>
        </w:rPr>
      </w:pPr>
      <w:r w:rsidRPr="00654A02">
        <w:rPr>
          <w:rFonts w:ascii="Arial" w:eastAsiaTheme="minorHAnsi" w:hAnsi="Arial" w:cs="Arial"/>
          <w:color w:val="000000"/>
        </w:rPr>
        <w:t xml:space="preserve">Supportive services as defined by WIOA and the corresponding sections of the CFR, but only for those individuals enrolled in training services for occupations in demand by industry, as defined in Section 3174(c)(3)(D) of Title 29 of the United States Code and the corresponding sections of the CFR. Supportive services may include, but are not limited to, the costs of trainees’ or students’ books, safety and lab equipment, tools and any payment of costs permitted under WIOA rules and corresponding regulations pertaining to supportive services expenditures, including the rule that these supportive services costs are necessary for the individual to participate in training. </w:t>
      </w:r>
    </w:p>
    <w:p w14:paraId="6DF2F122" w14:textId="4C94ED85" w:rsidR="00064BC1" w:rsidRPr="00654A02" w:rsidRDefault="00064BC1" w:rsidP="00654A02">
      <w:pPr>
        <w:pStyle w:val="ListParagraph"/>
        <w:widowControl/>
        <w:numPr>
          <w:ilvl w:val="0"/>
          <w:numId w:val="11"/>
        </w:numPr>
        <w:adjustRightInd w:val="0"/>
        <w:spacing w:after="3"/>
        <w:rPr>
          <w:rFonts w:ascii="Arial" w:eastAsiaTheme="minorHAnsi" w:hAnsi="Arial" w:cs="Arial"/>
          <w:color w:val="000000"/>
        </w:rPr>
      </w:pPr>
      <w:r w:rsidRPr="00654A02">
        <w:rPr>
          <w:rFonts w:ascii="Arial" w:eastAsiaTheme="minorHAnsi" w:hAnsi="Arial" w:cs="Arial"/>
          <w:color w:val="000000"/>
        </w:rPr>
        <w:t xml:space="preserve">TANF funds spent on supportive services as defined by WIOA and the corresponding sections of the CFR, for TANF enrolled individuals co-enrolled in and receiving training services for occupations in demand by industry through WIOA. Supportive services may include, but are not limited to, the costs of trainees’ or students’ books, safety and lab equipment, tools and any payment of costs permitted under WIOA rules and corresponding regulations pertaining to supportive services expenditures, including the rule that these supportive services costs are necessary for the individual to participate in training. </w:t>
      </w:r>
    </w:p>
    <w:p w14:paraId="1D9DD998" w14:textId="3C197B9E" w:rsidR="00064BC1" w:rsidRPr="00654A02" w:rsidRDefault="00064BC1" w:rsidP="00654A02">
      <w:pPr>
        <w:pStyle w:val="ListParagraph"/>
        <w:widowControl/>
        <w:numPr>
          <w:ilvl w:val="0"/>
          <w:numId w:val="11"/>
        </w:numPr>
        <w:adjustRightInd w:val="0"/>
        <w:rPr>
          <w:rFonts w:ascii="Arial" w:eastAsiaTheme="minorHAnsi" w:hAnsi="Arial" w:cs="Arial"/>
          <w:color w:val="000000"/>
        </w:rPr>
      </w:pPr>
      <w:r w:rsidRPr="00654A02">
        <w:rPr>
          <w:rFonts w:ascii="Arial" w:eastAsiaTheme="minorHAnsi" w:hAnsi="Arial" w:cs="Arial"/>
          <w:color w:val="000000"/>
        </w:rPr>
        <w:t xml:space="preserve">TANF funds spent on transitional and subsidized employment for TANF enrolled individuals co-enrolled in and receiving training services through WIOA. </w:t>
      </w:r>
    </w:p>
    <w:p w14:paraId="4BB17023" w14:textId="38A81E69" w:rsidR="00064BC1" w:rsidRPr="00654A02" w:rsidRDefault="00064BC1" w:rsidP="00654A02">
      <w:pPr>
        <w:pStyle w:val="ListParagraph"/>
        <w:widowControl/>
        <w:numPr>
          <w:ilvl w:val="0"/>
          <w:numId w:val="11"/>
        </w:numPr>
        <w:adjustRightInd w:val="0"/>
        <w:spacing w:after="7"/>
        <w:rPr>
          <w:rFonts w:ascii="Arial" w:eastAsiaTheme="minorHAnsi" w:hAnsi="Arial" w:cs="Arial"/>
          <w:color w:val="000000"/>
        </w:rPr>
      </w:pPr>
      <w:r w:rsidRPr="00654A02">
        <w:rPr>
          <w:rFonts w:ascii="Arial" w:eastAsiaTheme="minorHAnsi" w:hAnsi="Arial" w:cs="Arial"/>
          <w:color w:val="000000"/>
        </w:rPr>
        <w:t xml:space="preserve">Any other local, state, or federal funds spent on training or supportive services for individuals enrolled in training, provided the individuals are enrolled in WIOA for performance reporting and tracking purposes. </w:t>
      </w:r>
    </w:p>
    <w:p w14:paraId="7127D956" w14:textId="24A37CF6" w:rsidR="00064BC1" w:rsidRPr="00654A02" w:rsidRDefault="00064BC1" w:rsidP="00654A02">
      <w:pPr>
        <w:pStyle w:val="ListParagraph"/>
        <w:widowControl/>
        <w:numPr>
          <w:ilvl w:val="0"/>
          <w:numId w:val="11"/>
        </w:numPr>
        <w:adjustRightInd w:val="0"/>
        <w:rPr>
          <w:rFonts w:ascii="Arial" w:eastAsiaTheme="minorHAnsi" w:hAnsi="Arial" w:cs="Arial"/>
          <w:color w:val="000000"/>
        </w:rPr>
      </w:pPr>
      <w:r w:rsidRPr="00654A02">
        <w:rPr>
          <w:rFonts w:ascii="Arial" w:eastAsiaTheme="minorHAnsi" w:hAnsi="Arial" w:cs="Arial"/>
          <w:color w:val="000000"/>
        </w:rPr>
        <w:t xml:space="preserve">Any other public or private funds source approved by the State Board used to provide training or supportive services to individuals enrolled in training, provided the individuals are enrolled in WIOA for performance reporting and tracking purposes. </w:t>
      </w:r>
    </w:p>
    <w:p w14:paraId="02FC7F50" w14:textId="77777777" w:rsidR="00654A02" w:rsidRPr="00654A02" w:rsidRDefault="00654A02" w:rsidP="00064BC1">
      <w:pPr>
        <w:widowControl/>
        <w:adjustRightInd w:val="0"/>
        <w:rPr>
          <w:rFonts w:ascii="Arial" w:eastAsiaTheme="minorHAnsi" w:hAnsi="Arial" w:cs="Arial"/>
          <w:color w:val="000000"/>
        </w:rPr>
      </w:pPr>
    </w:p>
    <w:p w14:paraId="125821EB" w14:textId="2956D37F" w:rsidR="00064BC1" w:rsidRPr="00654A02" w:rsidRDefault="00064BC1" w:rsidP="00064BC1">
      <w:pPr>
        <w:widowControl/>
        <w:adjustRightInd w:val="0"/>
        <w:rPr>
          <w:rFonts w:ascii="Arial" w:eastAsiaTheme="minorHAnsi" w:hAnsi="Arial" w:cs="Arial"/>
          <w:color w:val="000000"/>
        </w:rPr>
      </w:pPr>
      <w:r w:rsidRPr="00654A02">
        <w:rPr>
          <w:rFonts w:ascii="Arial" w:eastAsiaTheme="minorHAnsi" w:hAnsi="Arial" w:cs="Arial"/>
          <w:color w:val="000000"/>
        </w:rPr>
        <w:t xml:space="preserve">Note – AB 1149 expanded the list of leveraged resources to include numbers 8-12 above. These additional leveraged resources may be applied as part of the 10 percent credit toward the PY 17-18 training expenditure requirement and for subsequent years, if the resources were applied on or after January 1, 2018. </w:t>
      </w:r>
    </w:p>
    <w:p w14:paraId="22474F46" w14:textId="77777777" w:rsidR="00654A02" w:rsidRPr="00654A02" w:rsidRDefault="00654A02" w:rsidP="00064BC1">
      <w:pPr>
        <w:widowControl/>
        <w:adjustRightInd w:val="0"/>
        <w:rPr>
          <w:rFonts w:ascii="Arial" w:eastAsiaTheme="minorHAnsi" w:hAnsi="Arial" w:cs="Arial"/>
          <w:i/>
          <w:iCs/>
          <w:color w:val="000000"/>
        </w:rPr>
      </w:pPr>
    </w:p>
    <w:p w14:paraId="5A19FFF9" w14:textId="2BACE12D" w:rsidR="00064BC1" w:rsidRPr="00654A02" w:rsidRDefault="00064BC1" w:rsidP="00064BC1">
      <w:pPr>
        <w:widowControl/>
        <w:adjustRightInd w:val="0"/>
        <w:rPr>
          <w:rFonts w:ascii="Arial" w:eastAsiaTheme="minorHAnsi" w:hAnsi="Arial" w:cs="Arial"/>
          <w:color w:val="000000"/>
        </w:rPr>
      </w:pPr>
      <w:r w:rsidRPr="00654A02">
        <w:rPr>
          <w:rFonts w:ascii="Arial" w:eastAsiaTheme="minorHAnsi" w:hAnsi="Arial" w:cs="Arial"/>
          <w:i/>
          <w:iCs/>
          <w:color w:val="000000"/>
        </w:rPr>
        <w:t xml:space="preserve">Shared Leveraged Resources Among Local Boards </w:t>
      </w:r>
    </w:p>
    <w:p w14:paraId="6442AA7E" w14:textId="77777777" w:rsidR="00654A02" w:rsidRPr="00654A02" w:rsidRDefault="00654A02" w:rsidP="00064BC1">
      <w:pPr>
        <w:widowControl/>
        <w:adjustRightInd w:val="0"/>
        <w:rPr>
          <w:rFonts w:ascii="Arial" w:eastAsiaTheme="minorHAnsi" w:hAnsi="Arial" w:cs="Arial"/>
          <w:color w:val="000000"/>
        </w:rPr>
      </w:pPr>
    </w:p>
    <w:p w14:paraId="327DD7DD" w14:textId="24B8E555" w:rsidR="00064BC1" w:rsidRPr="00654A02" w:rsidRDefault="00064BC1" w:rsidP="00064BC1">
      <w:pPr>
        <w:widowControl/>
        <w:adjustRightInd w:val="0"/>
        <w:rPr>
          <w:rFonts w:ascii="Arial" w:eastAsiaTheme="minorHAnsi" w:hAnsi="Arial" w:cs="Arial"/>
          <w:color w:val="000000"/>
        </w:rPr>
      </w:pPr>
      <w:r w:rsidRPr="00654A02">
        <w:rPr>
          <w:rFonts w:ascii="Arial" w:eastAsiaTheme="minorHAnsi" w:hAnsi="Arial" w:cs="Arial"/>
          <w:color w:val="000000"/>
        </w:rPr>
        <w:t xml:space="preserve">If a Local Board uses leveraged resources to subcontract with another Local Board to obtain training services, those funds </w:t>
      </w:r>
      <w:r w:rsidRPr="00654A02">
        <w:rPr>
          <w:rFonts w:ascii="Arial" w:eastAsiaTheme="minorHAnsi" w:hAnsi="Arial" w:cs="Arial"/>
          <w:i/>
          <w:iCs/>
          <w:color w:val="000000"/>
        </w:rPr>
        <w:t xml:space="preserve">cannot </w:t>
      </w:r>
      <w:r w:rsidRPr="00654A02">
        <w:rPr>
          <w:rFonts w:ascii="Arial" w:eastAsiaTheme="minorHAnsi" w:hAnsi="Arial" w:cs="Arial"/>
          <w:color w:val="000000"/>
        </w:rPr>
        <w:t xml:space="preserve">be counted by both parties toward meeting the training expenditure requirement. It is the responsibility of the Local Boards to negotiate and decide which Local Board will account for the expenditure towards meeting the training expenditure requirement. </w:t>
      </w:r>
    </w:p>
    <w:p w14:paraId="5F681B74" w14:textId="77777777" w:rsidR="00654A02" w:rsidRPr="00654A02" w:rsidRDefault="00654A02" w:rsidP="00654A02">
      <w:pPr>
        <w:pStyle w:val="ListParagraph"/>
        <w:widowControl/>
        <w:adjustRightInd w:val="0"/>
        <w:ind w:left="720" w:firstLine="0"/>
        <w:rPr>
          <w:rFonts w:ascii="Arial" w:eastAsiaTheme="minorHAnsi" w:hAnsi="Arial" w:cs="Arial"/>
          <w:color w:val="000000"/>
        </w:rPr>
      </w:pPr>
    </w:p>
    <w:p w14:paraId="7A3EB6CB" w14:textId="77777777" w:rsidR="00064BC1" w:rsidRPr="00654A02" w:rsidRDefault="00064BC1" w:rsidP="00064BC1">
      <w:pPr>
        <w:widowControl/>
        <w:adjustRightInd w:val="0"/>
        <w:rPr>
          <w:rFonts w:ascii="Arial" w:eastAsiaTheme="minorHAnsi" w:hAnsi="Arial" w:cs="Arial"/>
          <w:color w:val="000000"/>
        </w:rPr>
      </w:pPr>
      <w:r w:rsidRPr="00654A02">
        <w:rPr>
          <w:rFonts w:ascii="Arial" w:eastAsiaTheme="minorHAnsi" w:hAnsi="Arial" w:cs="Arial"/>
          <w:i/>
          <w:iCs/>
          <w:color w:val="000000"/>
        </w:rPr>
        <w:t xml:space="preserve">Reporting Leveraged Resources </w:t>
      </w:r>
    </w:p>
    <w:p w14:paraId="5B515437" w14:textId="77777777" w:rsidR="00654A02" w:rsidRPr="00654A02" w:rsidRDefault="00654A02" w:rsidP="00064BC1">
      <w:pPr>
        <w:widowControl/>
        <w:adjustRightInd w:val="0"/>
        <w:rPr>
          <w:rFonts w:ascii="Arial" w:eastAsiaTheme="minorHAnsi" w:hAnsi="Arial" w:cs="Arial"/>
          <w:color w:val="000000"/>
        </w:rPr>
      </w:pPr>
    </w:p>
    <w:p w14:paraId="52F792B7" w14:textId="37F20908" w:rsidR="00064BC1" w:rsidRPr="00654A02" w:rsidRDefault="00064BC1" w:rsidP="00064BC1">
      <w:pPr>
        <w:widowControl/>
        <w:adjustRightInd w:val="0"/>
        <w:rPr>
          <w:rFonts w:ascii="Arial" w:eastAsiaTheme="minorHAnsi" w:hAnsi="Arial" w:cs="Arial"/>
          <w:color w:val="000000"/>
        </w:rPr>
      </w:pPr>
      <w:r w:rsidRPr="00654A02">
        <w:rPr>
          <w:rFonts w:ascii="Arial" w:eastAsiaTheme="minorHAnsi" w:hAnsi="Arial" w:cs="Arial"/>
          <w:color w:val="000000"/>
        </w:rPr>
        <w:lastRenderedPageBreak/>
        <w:t xml:space="preserve">Local Boards are not required to use leveraged resources toward meeting the minimum training expenditure requirement. However, if a Local Board does choose this option, they must report all leveraged resources applied as part of the 10 percent credit in Attachment 2, Summary of Leveraged Resources. </w:t>
      </w:r>
    </w:p>
    <w:p w14:paraId="7EC451D1" w14:textId="77777777" w:rsidR="00064BC1" w:rsidRPr="00654A02" w:rsidRDefault="00064BC1" w:rsidP="00064BC1">
      <w:pPr>
        <w:widowControl/>
        <w:adjustRightInd w:val="0"/>
        <w:rPr>
          <w:rFonts w:ascii="Arial" w:eastAsiaTheme="minorHAnsi" w:hAnsi="Arial" w:cs="Arial"/>
          <w:color w:val="000000"/>
        </w:rPr>
      </w:pPr>
      <w:r w:rsidRPr="00654A02">
        <w:rPr>
          <w:rFonts w:ascii="Arial" w:eastAsiaTheme="minorHAnsi" w:hAnsi="Arial" w:cs="Arial"/>
          <w:color w:val="000000"/>
        </w:rPr>
        <w:t xml:space="preserve">All leveraged resources reported under this Directive must also be included in the amounts reported under Section VII, Miscellaneous Items, of the WIOA Summary of Expenditures Report (see WSD16-13, </w:t>
      </w:r>
      <w:r w:rsidRPr="00654A02">
        <w:rPr>
          <w:rFonts w:ascii="Arial" w:eastAsiaTheme="minorHAnsi" w:hAnsi="Arial" w:cs="Arial"/>
          <w:i/>
          <w:iCs/>
          <w:color w:val="000000"/>
        </w:rPr>
        <w:t>Quarterly and Monthly Financial Reporting Requirements</w:t>
      </w:r>
      <w:r w:rsidRPr="00654A02">
        <w:rPr>
          <w:rFonts w:ascii="Arial" w:eastAsiaTheme="minorHAnsi" w:hAnsi="Arial" w:cs="Arial"/>
          <w:color w:val="000000"/>
        </w:rPr>
        <w:t xml:space="preserve">). </w:t>
      </w:r>
    </w:p>
    <w:p w14:paraId="019C653C" w14:textId="77777777" w:rsidR="00654A02" w:rsidRPr="00654A02" w:rsidRDefault="00654A02" w:rsidP="00064BC1">
      <w:pPr>
        <w:widowControl/>
        <w:adjustRightInd w:val="0"/>
        <w:rPr>
          <w:rFonts w:ascii="Arial" w:eastAsiaTheme="minorHAnsi" w:hAnsi="Arial" w:cs="Arial"/>
          <w:i/>
          <w:iCs/>
          <w:color w:val="000000"/>
        </w:rPr>
      </w:pPr>
    </w:p>
    <w:p w14:paraId="4C83A8E0" w14:textId="5A18B9CA" w:rsidR="00064BC1" w:rsidRPr="00654A02" w:rsidRDefault="00064BC1" w:rsidP="00064BC1">
      <w:pPr>
        <w:widowControl/>
        <w:adjustRightInd w:val="0"/>
        <w:rPr>
          <w:rFonts w:ascii="Arial" w:eastAsiaTheme="minorHAnsi" w:hAnsi="Arial" w:cs="Arial"/>
          <w:color w:val="000000"/>
        </w:rPr>
      </w:pPr>
      <w:r w:rsidRPr="00654A02">
        <w:rPr>
          <w:rFonts w:ascii="Arial" w:eastAsiaTheme="minorHAnsi" w:hAnsi="Arial" w:cs="Arial"/>
          <w:i/>
          <w:iCs/>
          <w:color w:val="000000"/>
        </w:rPr>
        <w:t xml:space="preserve">Recordkeeping Requirements </w:t>
      </w:r>
    </w:p>
    <w:p w14:paraId="3FB7A7CF" w14:textId="77777777" w:rsidR="00654A02" w:rsidRPr="00654A02" w:rsidRDefault="00654A02" w:rsidP="00064BC1">
      <w:pPr>
        <w:widowControl/>
        <w:adjustRightInd w:val="0"/>
        <w:rPr>
          <w:rFonts w:ascii="Arial" w:eastAsiaTheme="minorHAnsi" w:hAnsi="Arial" w:cs="Arial"/>
          <w:color w:val="000000"/>
        </w:rPr>
      </w:pPr>
    </w:p>
    <w:p w14:paraId="71F26D38" w14:textId="67E46305" w:rsidR="00064BC1" w:rsidRPr="00654A02" w:rsidRDefault="00064BC1" w:rsidP="00064BC1">
      <w:pPr>
        <w:widowControl/>
        <w:adjustRightInd w:val="0"/>
        <w:rPr>
          <w:rFonts w:ascii="Arial" w:eastAsiaTheme="minorHAnsi" w:hAnsi="Arial" w:cs="Arial"/>
          <w:color w:val="000000"/>
        </w:rPr>
      </w:pPr>
      <w:r w:rsidRPr="00654A02">
        <w:rPr>
          <w:rFonts w:ascii="Arial" w:eastAsiaTheme="minorHAnsi" w:hAnsi="Arial" w:cs="Arial"/>
          <w:color w:val="000000"/>
        </w:rPr>
        <w:t xml:space="preserve">Local Boards must keep and maintain </w:t>
      </w:r>
      <w:proofErr w:type="gramStart"/>
      <w:r w:rsidRPr="00654A02">
        <w:rPr>
          <w:rFonts w:ascii="Arial" w:eastAsiaTheme="minorHAnsi" w:hAnsi="Arial" w:cs="Arial"/>
          <w:color w:val="000000"/>
        </w:rPr>
        <w:t>sufficient</w:t>
      </w:r>
      <w:proofErr w:type="gramEnd"/>
      <w:r w:rsidRPr="00654A02">
        <w:rPr>
          <w:rFonts w:ascii="Arial" w:eastAsiaTheme="minorHAnsi" w:hAnsi="Arial" w:cs="Arial"/>
          <w:color w:val="000000"/>
        </w:rPr>
        <w:t xml:space="preserve"> records of the leveraged resources which can be independently verified by the EDD. Any records of leveraged resources that cannot be verified will be removed from the Local Board’s Summary of Leveraged Resources report and may result in failure to meet the minimum training expenditure requirement. </w:t>
      </w:r>
    </w:p>
    <w:p w14:paraId="7C54E0FF" w14:textId="77777777" w:rsidR="00064BC1" w:rsidRPr="00654A02" w:rsidRDefault="00064BC1" w:rsidP="00064BC1">
      <w:pPr>
        <w:widowControl/>
        <w:adjustRightInd w:val="0"/>
        <w:rPr>
          <w:rFonts w:ascii="Arial" w:eastAsiaTheme="minorHAnsi" w:hAnsi="Arial" w:cs="Arial"/>
          <w:color w:val="000000"/>
        </w:rPr>
      </w:pPr>
      <w:r w:rsidRPr="00654A02">
        <w:rPr>
          <w:rFonts w:ascii="Arial" w:eastAsiaTheme="minorHAnsi" w:hAnsi="Arial" w:cs="Arial"/>
          <w:color w:val="000000"/>
        </w:rPr>
        <w:t xml:space="preserve">The EDD does not specifically define what would classify as </w:t>
      </w:r>
      <w:proofErr w:type="gramStart"/>
      <w:r w:rsidRPr="00654A02">
        <w:rPr>
          <w:rFonts w:ascii="Arial" w:eastAsiaTheme="minorHAnsi" w:hAnsi="Arial" w:cs="Arial"/>
          <w:color w:val="000000"/>
        </w:rPr>
        <w:t>sufficient</w:t>
      </w:r>
      <w:proofErr w:type="gramEnd"/>
      <w:r w:rsidRPr="00654A02">
        <w:rPr>
          <w:rFonts w:ascii="Arial" w:eastAsiaTheme="minorHAnsi" w:hAnsi="Arial" w:cs="Arial"/>
          <w:color w:val="000000"/>
        </w:rPr>
        <w:t xml:space="preserve"> records. However, some examples of documentation that could qualify as </w:t>
      </w:r>
      <w:proofErr w:type="gramStart"/>
      <w:r w:rsidRPr="00654A02">
        <w:rPr>
          <w:rFonts w:ascii="Arial" w:eastAsiaTheme="minorHAnsi" w:hAnsi="Arial" w:cs="Arial"/>
          <w:color w:val="000000"/>
        </w:rPr>
        <w:t>sufficient</w:t>
      </w:r>
      <w:proofErr w:type="gramEnd"/>
      <w:r w:rsidRPr="00654A02">
        <w:rPr>
          <w:rFonts w:ascii="Arial" w:eastAsiaTheme="minorHAnsi" w:hAnsi="Arial" w:cs="Arial"/>
          <w:color w:val="000000"/>
        </w:rPr>
        <w:t xml:space="preserve"> records would include the following: </w:t>
      </w:r>
    </w:p>
    <w:p w14:paraId="5F4886F4" w14:textId="03AD9236" w:rsidR="00064BC1" w:rsidRPr="00654A02" w:rsidRDefault="00064BC1" w:rsidP="00654A02">
      <w:pPr>
        <w:pStyle w:val="ListParagraph"/>
        <w:widowControl/>
        <w:numPr>
          <w:ilvl w:val="0"/>
          <w:numId w:val="14"/>
        </w:numPr>
        <w:adjustRightInd w:val="0"/>
        <w:rPr>
          <w:rFonts w:ascii="Arial" w:eastAsiaTheme="minorHAnsi" w:hAnsi="Arial" w:cs="Arial"/>
          <w:color w:val="000000"/>
        </w:rPr>
      </w:pPr>
      <w:r w:rsidRPr="00654A02">
        <w:rPr>
          <w:rFonts w:ascii="Arial" w:eastAsiaTheme="minorHAnsi" w:hAnsi="Arial" w:cs="Arial"/>
          <w:color w:val="000000"/>
        </w:rPr>
        <w:t xml:space="preserve">A commitment letter or written agreement from an employer or training provider. </w:t>
      </w:r>
    </w:p>
    <w:p w14:paraId="7C6E2344" w14:textId="34CEC536" w:rsidR="00064BC1" w:rsidRPr="00654A02" w:rsidRDefault="00064BC1" w:rsidP="00654A02">
      <w:pPr>
        <w:pStyle w:val="ListParagraph"/>
        <w:widowControl/>
        <w:numPr>
          <w:ilvl w:val="0"/>
          <w:numId w:val="14"/>
        </w:numPr>
        <w:adjustRightInd w:val="0"/>
        <w:rPr>
          <w:rFonts w:ascii="Arial" w:eastAsiaTheme="minorHAnsi" w:hAnsi="Arial" w:cs="Arial"/>
          <w:color w:val="000000"/>
        </w:rPr>
      </w:pPr>
      <w:r w:rsidRPr="00654A02">
        <w:rPr>
          <w:rFonts w:ascii="Arial" w:eastAsiaTheme="minorHAnsi" w:hAnsi="Arial" w:cs="Arial"/>
          <w:color w:val="000000"/>
        </w:rPr>
        <w:t xml:space="preserve">A training agreement with an employer detailing the employer’s contribution. </w:t>
      </w:r>
    </w:p>
    <w:p w14:paraId="284BE5BC" w14:textId="7B7066CE" w:rsidR="00064BC1" w:rsidRPr="00654A02" w:rsidRDefault="00064BC1" w:rsidP="00654A02">
      <w:pPr>
        <w:pStyle w:val="ListParagraph"/>
        <w:widowControl/>
        <w:numPr>
          <w:ilvl w:val="0"/>
          <w:numId w:val="14"/>
        </w:numPr>
        <w:adjustRightInd w:val="0"/>
        <w:rPr>
          <w:rFonts w:ascii="Arial" w:eastAsiaTheme="minorHAnsi" w:hAnsi="Arial" w:cs="Arial"/>
          <w:color w:val="000000"/>
        </w:rPr>
      </w:pPr>
      <w:r w:rsidRPr="00654A02">
        <w:rPr>
          <w:rFonts w:ascii="Arial" w:eastAsiaTheme="minorHAnsi" w:hAnsi="Arial" w:cs="Arial"/>
          <w:color w:val="000000"/>
        </w:rPr>
        <w:t xml:space="preserve">A copy of the Pell Grant award letter or relevant correspondence from the school. </w:t>
      </w:r>
    </w:p>
    <w:p w14:paraId="02B924DC" w14:textId="7C47BA27" w:rsidR="00064BC1" w:rsidRPr="00654A02" w:rsidRDefault="00064BC1" w:rsidP="00654A02">
      <w:pPr>
        <w:pStyle w:val="ListParagraph"/>
        <w:widowControl/>
        <w:numPr>
          <w:ilvl w:val="0"/>
          <w:numId w:val="14"/>
        </w:numPr>
        <w:adjustRightInd w:val="0"/>
        <w:rPr>
          <w:rFonts w:ascii="Arial" w:eastAsiaTheme="minorHAnsi" w:hAnsi="Arial" w:cs="Arial"/>
          <w:color w:val="000000"/>
        </w:rPr>
      </w:pPr>
      <w:r w:rsidRPr="00654A02">
        <w:rPr>
          <w:rFonts w:ascii="Arial" w:eastAsiaTheme="minorHAnsi" w:hAnsi="Arial" w:cs="Arial"/>
          <w:color w:val="000000"/>
        </w:rPr>
        <w:t xml:space="preserve">An executed worksite agreement and participant time record. </w:t>
      </w:r>
    </w:p>
    <w:p w14:paraId="13C7AAF2" w14:textId="0D3BDDF4" w:rsidR="00064BC1" w:rsidRPr="00654A02" w:rsidRDefault="00064BC1" w:rsidP="00654A02">
      <w:pPr>
        <w:pStyle w:val="ListParagraph"/>
        <w:widowControl/>
        <w:numPr>
          <w:ilvl w:val="0"/>
          <w:numId w:val="14"/>
        </w:numPr>
        <w:adjustRightInd w:val="0"/>
        <w:rPr>
          <w:rFonts w:ascii="Arial" w:eastAsiaTheme="minorHAnsi" w:hAnsi="Arial" w:cs="Arial"/>
          <w:color w:val="000000"/>
        </w:rPr>
      </w:pPr>
      <w:r w:rsidRPr="00654A02">
        <w:rPr>
          <w:rFonts w:ascii="Arial" w:eastAsiaTheme="minorHAnsi" w:hAnsi="Arial" w:cs="Arial"/>
          <w:color w:val="000000"/>
        </w:rPr>
        <w:t xml:space="preserve">A participant progress report and/or evidence of completion. </w:t>
      </w:r>
    </w:p>
    <w:p w14:paraId="6DF5C108" w14:textId="77777777" w:rsidR="00064BC1" w:rsidRPr="00654A02" w:rsidRDefault="00064BC1" w:rsidP="00064BC1">
      <w:pPr>
        <w:widowControl/>
        <w:adjustRightInd w:val="0"/>
        <w:rPr>
          <w:rFonts w:ascii="Arial" w:eastAsiaTheme="minorHAnsi" w:hAnsi="Arial" w:cs="Arial"/>
          <w:color w:val="000000"/>
        </w:rPr>
      </w:pPr>
    </w:p>
    <w:p w14:paraId="2975F21C" w14:textId="77777777" w:rsidR="00654A02" w:rsidRPr="00654A02" w:rsidRDefault="00064BC1" w:rsidP="00064BC1">
      <w:pPr>
        <w:widowControl/>
        <w:adjustRightInd w:val="0"/>
        <w:rPr>
          <w:rFonts w:ascii="Arial" w:eastAsiaTheme="minorHAnsi" w:hAnsi="Arial" w:cs="Arial"/>
          <w:color w:val="000000"/>
        </w:rPr>
      </w:pPr>
      <w:r w:rsidRPr="00654A02">
        <w:rPr>
          <w:rFonts w:ascii="Arial" w:eastAsiaTheme="minorHAnsi" w:hAnsi="Arial" w:cs="Arial"/>
          <w:color w:val="000000"/>
        </w:rPr>
        <w:t xml:space="preserve">This list is not all inclusive. Local Boards have the discretion to determine what constitutes </w:t>
      </w:r>
      <w:proofErr w:type="gramStart"/>
      <w:r w:rsidRPr="00654A02">
        <w:rPr>
          <w:rFonts w:ascii="Arial" w:eastAsiaTheme="minorHAnsi" w:hAnsi="Arial" w:cs="Arial"/>
          <w:color w:val="000000"/>
        </w:rPr>
        <w:t>sufficient</w:t>
      </w:r>
      <w:proofErr w:type="gramEnd"/>
      <w:r w:rsidRPr="00654A02">
        <w:rPr>
          <w:rFonts w:ascii="Arial" w:eastAsiaTheme="minorHAnsi" w:hAnsi="Arial" w:cs="Arial"/>
          <w:color w:val="000000"/>
        </w:rPr>
        <w:t xml:space="preserve"> records. This determination may vary depending on the Local Area. </w:t>
      </w:r>
    </w:p>
    <w:p w14:paraId="259C762A" w14:textId="77777777" w:rsidR="00654A02" w:rsidRPr="00654A02" w:rsidRDefault="00654A02" w:rsidP="00064BC1">
      <w:pPr>
        <w:widowControl/>
        <w:adjustRightInd w:val="0"/>
        <w:rPr>
          <w:rFonts w:ascii="Arial" w:eastAsiaTheme="minorHAnsi" w:hAnsi="Arial" w:cs="Arial"/>
          <w:color w:val="000000"/>
        </w:rPr>
      </w:pPr>
    </w:p>
    <w:p w14:paraId="4EBE999C" w14:textId="2CD5EAC6" w:rsidR="00064BC1" w:rsidRPr="00654A02" w:rsidRDefault="00064BC1" w:rsidP="00064BC1">
      <w:pPr>
        <w:widowControl/>
        <w:adjustRightInd w:val="0"/>
        <w:rPr>
          <w:rFonts w:ascii="Arial" w:eastAsiaTheme="minorHAnsi" w:hAnsi="Arial" w:cs="Arial"/>
          <w:color w:val="000000"/>
        </w:rPr>
      </w:pPr>
      <w:r w:rsidRPr="00654A02">
        <w:rPr>
          <w:rFonts w:ascii="Arial" w:eastAsiaTheme="minorHAnsi" w:hAnsi="Arial" w:cs="Arial"/>
          <w:color w:val="000000"/>
        </w:rPr>
        <w:t xml:space="preserve">Costs arising from the recordkeeping required to demonstrate compliance with leveraged resources requirements are the responsibility of the Local Board. </w:t>
      </w:r>
    </w:p>
    <w:p w14:paraId="32F77BE4" w14:textId="77777777" w:rsidR="00AC477E" w:rsidRPr="008F1C3C" w:rsidRDefault="00AC477E" w:rsidP="00900248">
      <w:pPr>
        <w:widowControl/>
        <w:adjustRightInd w:val="0"/>
        <w:rPr>
          <w:rFonts w:ascii="Arial" w:eastAsiaTheme="minorHAnsi" w:hAnsi="Arial" w:cs="Arial"/>
          <w:color w:val="000000"/>
          <w:highlight w:val="yellow"/>
        </w:rPr>
      </w:pPr>
    </w:p>
    <w:p w14:paraId="00B872DB" w14:textId="04F5FE8C" w:rsidR="00B14606" w:rsidRPr="00B14606" w:rsidRDefault="00B14606" w:rsidP="00777A8E">
      <w:pPr>
        <w:widowControl/>
        <w:autoSpaceDE/>
        <w:autoSpaceDN/>
        <w:rPr>
          <w:rFonts w:ascii="Arial" w:hAnsi="Arial" w:cs="Arial"/>
          <w:b/>
        </w:rPr>
      </w:pPr>
      <w:r w:rsidRPr="00B14606">
        <w:rPr>
          <w:rFonts w:ascii="Arial" w:hAnsi="Arial" w:cs="Arial"/>
          <w:b/>
        </w:rPr>
        <w:t>ATTACHMENTS:</w:t>
      </w:r>
    </w:p>
    <w:p w14:paraId="4C646624" w14:textId="25632143" w:rsidR="00654A02" w:rsidRPr="00654A02" w:rsidRDefault="00654A02" w:rsidP="00654A02">
      <w:pPr>
        <w:pStyle w:val="ListParagraph"/>
        <w:widowControl/>
        <w:numPr>
          <w:ilvl w:val="0"/>
          <w:numId w:val="17"/>
        </w:numPr>
        <w:adjustRightInd w:val="0"/>
        <w:rPr>
          <w:rFonts w:eastAsiaTheme="minorHAnsi"/>
          <w:color w:val="000000"/>
          <w:sz w:val="23"/>
          <w:szCs w:val="23"/>
        </w:rPr>
      </w:pPr>
      <w:r w:rsidRPr="00654A02">
        <w:rPr>
          <w:rFonts w:eastAsiaTheme="minorHAnsi"/>
          <w:color w:val="000000"/>
          <w:sz w:val="23"/>
          <w:szCs w:val="23"/>
        </w:rPr>
        <w:t xml:space="preserve">Match Funds from Employer Paid Portion of OJT </w:t>
      </w:r>
    </w:p>
    <w:p w14:paraId="42AF4C51" w14:textId="66FFD291" w:rsidR="00654A02" w:rsidRPr="00654A02" w:rsidRDefault="00654A02" w:rsidP="00654A02">
      <w:pPr>
        <w:pStyle w:val="ListParagraph"/>
        <w:widowControl/>
        <w:numPr>
          <w:ilvl w:val="0"/>
          <w:numId w:val="17"/>
        </w:numPr>
        <w:adjustRightInd w:val="0"/>
        <w:rPr>
          <w:rFonts w:eastAsiaTheme="minorHAnsi"/>
          <w:color w:val="000000"/>
          <w:sz w:val="23"/>
          <w:szCs w:val="23"/>
        </w:rPr>
      </w:pPr>
      <w:r w:rsidRPr="00654A02">
        <w:rPr>
          <w:rFonts w:eastAsiaTheme="minorHAnsi"/>
          <w:color w:val="000000"/>
          <w:sz w:val="23"/>
          <w:szCs w:val="23"/>
        </w:rPr>
        <w:t>Sum</w:t>
      </w:r>
      <w:bookmarkStart w:id="1" w:name="_GoBack"/>
      <w:bookmarkEnd w:id="1"/>
      <w:r w:rsidRPr="00654A02">
        <w:rPr>
          <w:rFonts w:eastAsiaTheme="minorHAnsi"/>
          <w:color w:val="000000"/>
          <w:sz w:val="23"/>
          <w:szCs w:val="23"/>
        </w:rPr>
        <w:t xml:space="preserve">mary of Leveraged Resources </w:t>
      </w:r>
    </w:p>
    <w:p w14:paraId="3DC3110D" w14:textId="77777777" w:rsidR="00CC2C32" w:rsidRPr="002453E4" w:rsidRDefault="00CC2C32" w:rsidP="00FD4E4B">
      <w:pPr>
        <w:rPr>
          <w:rFonts w:ascii="Arial" w:hAnsi="Arial" w:cs="Arial"/>
        </w:rPr>
      </w:pPr>
    </w:p>
    <w:p w14:paraId="7B588699" w14:textId="5706D902" w:rsidR="008C1543" w:rsidRPr="002453E4" w:rsidRDefault="008C1543" w:rsidP="00362FD8">
      <w:pPr>
        <w:ind w:firstLine="360"/>
        <w:rPr>
          <w:rFonts w:ascii="Arial" w:hAnsi="Arial" w:cs="Arial"/>
          <w:b/>
          <w:color w:val="3787C3"/>
          <w:sz w:val="28"/>
          <w:szCs w:val="28"/>
        </w:rPr>
      </w:pPr>
      <w:r w:rsidRPr="002453E4">
        <w:rPr>
          <w:rFonts w:ascii="Arial" w:hAnsi="Arial" w:cs="Arial"/>
          <w:b/>
          <w:color w:val="3787C3"/>
          <w:sz w:val="28"/>
          <w:szCs w:val="28"/>
        </w:rPr>
        <w:t>INQUIRIES</w:t>
      </w:r>
    </w:p>
    <w:p w14:paraId="0E30853C" w14:textId="3A6EA244" w:rsidR="008C1543" w:rsidRPr="002453E4" w:rsidRDefault="008C1543" w:rsidP="00CF5551">
      <w:pPr>
        <w:pBdr>
          <w:bottom w:val="double" w:sz="12" w:space="1" w:color="A40000"/>
        </w:pBdr>
        <w:rPr>
          <w:rFonts w:ascii="Arial" w:hAnsi="Arial" w:cs="Arial"/>
        </w:rPr>
      </w:pPr>
    </w:p>
    <w:p w14:paraId="767406C4" w14:textId="58A1D1A7" w:rsidR="008C1543" w:rsidRPr="002453E4" w:rsidRDefault="00E15A2A" w:rsidP="00FD4E4B">
      <w:pPr>
        <w:rPr>
          <w:rFonts w:ascii="Arial" w:hAnsi="Arial" w:cs="Arial"/>
        </w:rPr>
      </w:pPr>
      <w:r w:rsidRPr="002453E4">
        <w:rPr>
          <w:rFonts w:ascii="Arial" w:hAnsi="Arial" w:cs="Arial"/>
        </w:rPr>
        <w:t xml:space="preserve">If you have questions please contact </w:t>
      </w:r>
      <w:r w:rsidR="00A03178" w:rsidRPr="002453E4">
        <w:rPr>
          <w:rFonts w:ascii="Arial" w:hAnsi="Arial" w:cs="Arial"/>
        </w:rPr>
        <w:t xml:space="preserve">staff at (831) 796-6434.  This policy is posted on the WDB website located at: </w:t>
      </w:r>
      <w:hyperlink r:id="rId10" w:history="1">
        <w:r w:rsidR="00A03178" w:rsidRPr="002453E4">
          <w:rPr>
            <w:rStyle w:val="Hyperlink"/>
            <w:rFonts w:ascii="Arial" w:hAnsi="Arial" w:cs="Arial"/>
          </w:rPr>
          <w:t>www.montereycountywdb.org/policies/</w:t>
        </w:r>
      </w:hyperlink>
      <w:r w:rsidR="00A03178" w:rsidRPr="002453E4">
        <w:rPr>
          <w:rFonts w:ascii="Arial" w:hAnsi="Arial" w:cs="Arial"/>
        </w:rPr>
        <w:t xml:space="preserve"> </w:t>
      </w:r>
    </w:p>
    <w:p w14:paraId="2522708A" w14:textId="35442A43" w:rsidR="00A03178" w:rsidRPr="002453E4" w:rsidRDefault="00A03178" w:rsidP="00FD4E4B">
      <w:pPr>
        <w:rPr>
          <w:rFonts w:ascii="Arial" w:hAnsi="Arial" w:cs="Arial"/>
        </w:rPr>
      </w:pPr>
    </w:p>
    <w:p w14:paraId="131614CC" w14:textId="3ED5B104" w:rsidR="00A03178" w:rsidRPr="002453E4" w:rsidRDefault="00A03178" w:rsidP="00FD4E4B">
      <w:pPr>
        <w:rPr>
          <w:rFonts w:ascii="Arial" w:hAnsi="Arial" w:cs="Arial"/>
        </w:rPr>
      </w:pPr>
      <w:r w:rsidRPr="002453E4">
        <w:rPr>
          <w:rFonts w:ascii="Arial" w:hAnsi="Arial" w:cs="Arial"/>
        </w:rPr>
        <w:t>CHRIS DONNELLY, Executive Director</w:t>
      </w:r>
    </w:p>
    <w:p w14:paraId="53C0C758" w14:textId="76A694D7" w:rsidR="00CF5551" w:rsidRPr="002453E4" w:rsidRDefault="00E15A2A" w:rsidP="00FD4E4B">
      <w:pPr>
        <w:rPr>
          <w:rFonts w:ascii="Arial" w:hAnsi="Arial" w:cs="Arial"/>
        </w:rPr>
      </w:pPr>
      <w:r w:rsidRPr="002453E4">
        <w:rPr>
          <w:rFonts w:ascii="Arial" w:hAnsi="Arial" w:cs="Arial"/>
        </w:rPr>
        <w:t>Monterey County Workforce Development Board</w:t>
      </w:r>
    </w:p>
    <w:sectPr w:rsidR="00CF5551" w:rsidRPr="002453E4" w:rsidSect="00907A0D">
      <w:footerReference w:type="even" r:id="rId11"/>
      <w:footerReference w:type="default" r:id="rId12"/>
      <w:footerReference w:type="first" r:id="rId13"/>
      <w:pgSz w:w="12240" w:h="15840" w:code="1"/>
      <w:pgMar w:top="576"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1F279" w14:textId="77777777" w:rsidR="003A0AD3" w:rsidRDefault="003A0AD3" w:rsidP="00BA3B93">
      <w:r>
        <w:separator/>
      </w:r>
    </w:p>
  </w:endnote>
  <w:endnote w:type="continuationSeparator" w:id="0">
    <w:p w14:paraId="5320682E" w14:textId="77777777" w:rsidR="003A0AD3" w:rsidRDefault="003A0AD3" w:rsidP="00BA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9A8E1" w14:textId="77777777" w:rsidR="008C1543" w:rsidRDefault="008C1543" w:rsidP="008E6B2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B07C35" w14:textId="77777777" w:rsidR="008C1543" w:rsidRDefault="008C1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FF33" w14:textId="60698AD2" w:rsidR="000E0ADD" w:rsidRPr="00654DDA" w:rsidRDefault="000E0ADD">
    <w:pPr>
      <w:pStyle w:val="Footer"/>
      <w:jc w:val="center"/>
    </w:pPr>
    <w:r w:rsidRPr="00654DDA">
      <w:t xml:space="preserve">Page </w:t>
    </w:r>
    <w:r w:rsidRPr="00654DDA">
      <w:fldChar w:fldCharType="begin"/>
    </w:r>
    <w:r w:rsidRPr="00654DDA">
      <w:instrText xml:space="preserve"> PAGE  \* Arabic  \* MERGEFORMAT </w:instrText>
    </w:r>
    <w:r w:rsidRPr="00654DDA">
      <w:fldChar w:fldCharType="separate"/>
    </w:r>
    <w:r w:rsidR="00B14606">
      <w:rPr>
        <w:noProof/>
      </w:rPr>
      <w:t>4</w:t>
    </w:r>
    <w:r w:rsidRPr="00654DDA">
      <w:fldChar w:fldCharType="end"/>
    </w:r>
    <w:r w:rsidRPr="00654DDA">
      <w:t xml:space="preserve"> of </w:t>
    </w:r>
    <w:r w:rsidR="002C07D1">
      <w:rPr>
        <w:noProof/>
      </w:rPr>
      <w:fldChar w:fldCharType="begin"/>
    </w:r>
    <w:r w:rsidR="002C07D1">
      <w:rPr>
        <w:noProof/>
      </w:rPr>
      <w:instrText xml:space="preserve"> NUMPAGES  \* Arabic  \* MERGEFORMAT </w:instrText>
    </w:r>
    <w:r w:rsidR="002C07D1">
      <w:rPr>
        <w:noProof/>
      </w:rPr>
      <w:fldChar w:fldCharType="separate"/>
    </w:r>
    <w:r w:rsidR="00B14606">
      <w:rPr>
        <w:noProof/>
      </w:rPr>
      <w:t>5</w:t>
    </w:r>
    <w:r w:rsidR="002C07D1">
      <w:rPr>
        <w:noProof/>
      </w:rPr>
      <w:fldChar w:fldCharType="end"/>
    </w:r>
  </w:p>
  <w:p w14:paraId="1F7940F0" w14:textId="7E704D84" w:rsidR="008C1543" w:rsidRPr="00654DDA" w:rsidRDefault="008C154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B548" w14:textId="0B362F31" w:rsidR="00907A0D" w:rsidRDefault="00907A0D">
    <w:pPr>
      <w:pStyle w:val="Footer"/>
    </w:pPr>
    <w:r>
      <w:rPr>
        <w:noProof/>
      </w:rPr>
      <mc:AlternateContent>
        <mc:Choice Requires="wps">
          <w:drawing>
            <wp:anchor distT="0" distB="0" distL="0" distR="0" simplePos="0" relativeHeight="251661312" behindDoc="0" locked="0" layoutInCell="1" allowOverlap="1" wp14:anchorId="38BD2CD1" wp14:editId="6133B294">
              <wp:simplePos x="0" y="0"/>
              <wp:positionH relativeFrom="margin">
                <wp:align>right</wp:align>
              </wp:positionH>
              <wp:positionV relativeFrom="paragraph">
                <wp:posOffset>-342900</wp:posOffset>
              </wp:positionV>
              <wp:extent cx="6793230" cy="333375"/>
              <wp:effectExtent l="0" t="0" r="26670" b="285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230" cy="3333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9F5201" w14:textId="69E83508" w:rsidR="00907A0D" w:rsidRDefault="00387D89" w:rsidP="0048043F">
                          <w:pPr>
                            <w:spacing w:before="4"/>
                            <w:ind w:left="90"/>
                            <w:rPr>
                              <w:i/>
                              <w:sz w:val="17"/>
                            </w:rPr>
                          </w:pPr>
                          <w:r>
                            <w:rPr>
                              <w:i/>
                              <w:sz w:val="17"/>
                            </w:rPr>
                            <w:t>The Monterey County Workforce Development Board is an equal opportunity employer/program. Auxiliary aids and services are available upon request to individuals with disabilities.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D2CD1" id="_x0000_t202" coordsize="21600,21600" o:spt="202" path="m,l,21600r21600,l21600,xe">
              <v:stroke joinstyle="miter"/>
              <v:path gradientshapeok="t" o:connecttype="rect"/>
            </v:shapetype>
            <v:shape id="Text Box 1" o:spid="_x0000_s1028" type="#_x0000_t202" style="position:absolute;margin-left:483.7pt;margin-top:-27pt;width:534.9pt;height:26.25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" filled="f" strokeweight="1pt">
              <v:textbox inset="0,0,0,0">
                <w:txbxContent>
                  <w:p w14:paraId="289F5201" w14:textId="69E83508" w:rsidR="00907A0D" w:rsidRDefault="00387D89" w:rsidP="0048043F">
                    <w:pPr>
                      <w:spacing w:before="4"/>
                      <w:ind w:left="90"/>
                      <w:rPr>
                        <w:i/>
                        <w:sz w:val="17"/>
                      </w:rPr>
                    </w:pPr>
                    <w:r>
                      <w:rPr>
                        <w:i/>
                        <w:sz w:val="17"/>
                      </w:rPr>
                      <w:t>The Monterey County Workforce Development Board is an equal opportunity employer/program. Auxiliary aids and services are available upon request to individuals with disabilities.</w:t>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1B8F2" w14:textId="77777777" w:rsidR="003A0AD3" w:rsidRDefault="003A0AD3" w:rsidP="00BA3B93">
      <w:r>
        <w:separator/>
      </w:r>
    </w:p>
  </w:footnote>
  <w:footnote w:type="continuationSeparator" w:id="0">
    <w:p w14:paraId="0789D4A1" w14:textId="77777777" w:rsidR="003A0AD3" w:rsidRDefault="003A0AD3" w:rsidP="00BA3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78C"/>
    <w:multiLevelType w:val="hybridMultilevel"/>
    <w:tmpl w:val="0444DE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A31F96"/>
    <w:multiLevelType w:val="hybridMultilevel"/>
    <w:tmpl w:val="E8BE6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D7885"/>
    <w:multiLevelType w:val="hybridMultilevel"/>
    <w:tmpl w:val="9D9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6069E"/>
    <w:multiLevelType w:val="hybridMultilevel"/>
    <w:tmpl w:val="05D873FA"/>
    <w:lvl w:ilvl="0" w:tplc="0409000F">
      <w:start w:val="1"/>
      <w:numFmt w:val="decimal"/>
      <w:lvlText w:val="%1."/>
      <w:lvlJc w:val="left"/>
      <w:pPr>
        <w:tabs>
          <w:tab w:val="num" w:pos="900"/>
        </w:tabs>
        <w:ind w:left="90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73F00"/>
    <w:multiLevelType w:val="hybridMultilevel"/>
    <w:tmpl w:val="2ADEFA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112293"/>
    <w:multiLevelType w:val="hybridMultilevel"/>
    <w:tmpl w:val="8A1E2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4165C"/>
    <w:multiLevelType w:val="hybridMultilevel"/>
    <w:tmpl w:val="0124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EC3"/>
    <w:multiLevelType w:val="hybridMultilevel"/>
    <w:tmpl w:val="91E47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4150D"/>
    <w:multiLevelType w:val="hybridMultilevel"/>
    <w:tmpl w:val="F0742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3287B"/>
    <w:multiLevelType w:val="hybridMultilevel"/>
    <w:tmpl w:val="49CEC99A"/>
    <w:lvl w:ilvl="0" w:tplc="0409000F">
      <w:start w:val="1"/>
      <w:numFmt w:val="decimal"/>
      <w:lvlText w:val="%1."/>
      <w:lvlJc w:val="left"/>
      <w:pPr>
        <w:tabs>
          <w:tab w:val="num" w:pos="382"/>
        </w:tabs>
        <w:ind w:left="382" w:hanging="360"/>
      </w:p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abstractNum w:abstractNumId="10" w15:restartNumberingAfterBreak="0">
    <w:nsid w:val="3671537B"/>
    <w:multiLevelType w:val="hybridMultilevel"/>
    <w:tmpl w:val="AFB2C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34DFC"/>
    <w:multiLevelType w:val="hybridMultilevel"/>
    <w:tmpl w:val="D818B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34B9C"/>
    <w:multiLevelType w:val="hybridMultilevel"/>
    <w:tmpl w:val="CAB03F1E"/>
    <w:lvl w:ilvl="0" w:tplc="A9BACA70">
      <w:start w:val="1"/>
      <w:numFmt w:val="bullet"/>
      <w:lvlText w:val=""/>
      <w:lvlJc w:val="left"/>
      <w:pPr>
        <w:tabs>
          <w:tab w:val="num" w:pos="900"/>
        </w:tabs>
        <w:ind w:left="90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797A03"/>
    <w:multiLevelType w:val="hybridMultilevel"/>
    <w:tmpl w:val="0EECD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B04B7"/>
    <w:multiLevelType w:val="hybridMultilevel"/>
    <w:tmpl w:val="3DAC5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644E33"/>
    <w:multiLevelType w:val="hybridMultilevel"/>
    <w:tmpl w:val="FC200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76449"/>
    <w:multiLevelType w:val="hybridMultilevel"/>
    <w:tmpl w:val="13248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12"/>
  </w:num>
  <w:num w:numId="4">
    <w:abstractNumId w:val="3"/>
  </w:num>
  <w:num w:numId="5">
    <w:abstractNumId w:val="13"/>
  </w:num>
  <w:num w:numId="6">
    <w:abstractNumId w:val="15"/>
  </w:num>
  <w:num w:numId="7">
    <w:abstractNumId w:val="8"/>
  </w:num>
  <w:num w:numId="8">
    <w:abstractNumId w:val="4"/>
  </w:num>
  <w:num w:numId="9">
    <w:abstractNumId w:val="16"/>
  </w:num>
  <w:num w:numId="10">
    <w:abstractNumId w:val="0"/>
  </w:num>
  <w:num w:numId="11">
    <w:abstractNumId w:val="11"/>
  </w:num>
  <w:num w:numId="12">
    <w:abstractNumId w:val="7"/>
  </w:num>
  <w:num w:numId="13">
    <w:abstractNumId w:val="14"/>
  </w:num>
  <w:num w:numId="14">
    <w:abstractNumId w:val="10"/>
  </w:num>
  <w:num w:numId="15">
    <w:abstractNumId w:val="5"/>
  </w:num>
  <w:num w:numId="16">
    <w:abstractNumId w:val="1"/>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00D"/>
    <w:rsid w:val="00014680"/>
    <w:rsid w:val="00022528"/>
    <w:rsid w:val="000225B2"/>
    <w:rsid w:val="00054A1A"/>
    <w:rsid w:val="00064BC1"/>
    <w:rsid w:val="00076766"/>
    <w:rsid w:val="000860B8"/>
    <w:rsid w:val="00087533"/>
    <w:rsid w:val="0009779E"/>
    <w:rsid w:val="000E0ADD"/>
    <w:rsid w:val="0010101F"/>
    <w:rsid w:val="0011149A"/>
    <w:rsid w:val="00200E2B"/>
    <w:rsid w:val="00220DCB"/>
    <w:rsid w:val="0023494F"/>
    <w:rsid w:val="00236CCA"/>
    <w:rsid w:val="002453E4"/>
    <w:rsid w:val="002862FB"/>
    <w:rsid w:val="002C07D1"/>
    <w:rsid w:val="002C4C3A"/>
    <w:rsid w:val="002D2662"/>
    <w:rsid w:val="002D4902"/>
    <w:rsid w:val="002E1B4D"/>
    <w:rsid w:val="002F46DB"/>
    <w:rsid w:val="0030300D"/>
    <w:rsid w:val="00303343"/>
    <w:rsid w:val="00320DA8"/>
    <w:rsid w:val="00340C1E"/>
    <w:rsid w:val="00353CF2"/>
    <w:rsid w:val="00362FD8"/>
    <w:rsid w:val="003772A6"/>
    <w:rsid w:val="00387D89"/>
    <w:rsid w:val="003A0AD3"/>
    <w:rsid w:val="003A3BE5"/>
    <w:rsid w:val="003B5DE5"/>
    <w:rsid w:val="003E583F"/>
    <w:rsid w:val="003F4648"/>
    <w:rsid w:val="0041784D"/>
    <w:rsid w:val="00434CBC"/>
    <w:rsid w:val="0044652D"/>
    <w:rsid w:val="004743DD"/>
    <w:rsid w:val="0048043F"/>
    <w:rsid w:val="0049470D"/>
    <w:rsid w:val="004A4DDC"/>
    <w:rsid w:val="004A6797"/>
    <w:rsid w:val="004C1049"/>
    <w:rsid w:val="00505F94"/>
    <w:rsid w:val="00514792"/>
    <w:rsid w:val="005B7395"/>
    <w:rsid w:val="005E324D"/>
    <w:rsid w:val="005F562A"/>
    <w:rsid w:val="006032ED"/>
    <w:rsid w:val="006164DB"/>
    <w:rsid w:val="00644577"/>
    <w:rsid w:val="00647711"/>
    <w:rsid w:val="00654A02"/>
    <w:rsid w:val="00654DDA"/>
    <w:rsid w:val="006C0B82"/>
    <w:rsid w:val="006C182A"/>
    <w:rsid w:val="006D5D89"/>
    <w:rsid w:val="00716EB3"/>
    <w:rsid w:val="00725A9E"/>
    <w:rsid w:val="0077777B"/>
    <w:rsid w:val="00777A8E"/>
    <w:rsid w:val="00782021"/>
    <w:rsid w:val="0078389B"/>
    <w:rsid w:val="007A5715"/>
    <w:rsid w:val="007B5090"/>
    <w:rsid w:val="007B7B63"/>
    <w:rsid w:val="007D49F3"/>
    <w:rsid w:val="00816274"/>
    <w:rsid w:val="00835338"/>
    <w:rsid w:val="00857DBF"/>
    <w:rsid w:val="008C1543"/>
    <w:rsid w:val="008D4DF6"/>
    <w:rsid w:val="008E6B24"/>
    <w:rsid w:val="008F1C3C"/>
    <w:rsid w:val="008F36DA"/>
    <w:rsid w:val="00900248"/>
    <w:rsid w:val="00907A0D"/>
    <w:rsid w:val="00912D18"/>
    <w:rsid w:val="00916B6A"/>
    <w:rsid w:val="00923CDD"/>
    <w:rsid w:val="009273C2"/>
    <w:rsid w:val="00944A4A"/>
    <w:rsid w:val="009571B1"/>
    <w:rsid w:val="00980736"/>
    <w:rsid w:val="0098334A"/>
    <w:rsid w:val="009A5EA9"/>
    <w:rsid w:val="009C06AB"/>
    <w:rsid w:val="009E4CC6"/>
    <w:rsid w:val="00A03178"/>
    <w:rsid w:val="00A03C6C"/>
    <w:rsid w:val="00A06C48"/>
    <w:rsid w:val="00A26DAC"/>
    <w:rsid w:val="00A4686C"/>
    <w:rsid w:val="00A476AB"/>
    <w:rsid w:val="00A612B6"/>
    <w:rsid w:val="00A86BC9"/>
    <w:rsid w:val="00AA1E12"/>
    <w:rsid w:val="00AB6B48"/>
    <w:rsid w:val="00AC477E"/>
    <w:rsid w:val="00B14606"/>
    <w:rsid w:val="00B42C40"/>
    <w:rsid w:val="00B52463"/>
    <w:rsid w:val="00B63E57"/>
    <w:rsid w:val="00B7620F"/>
    <w:rsid w:val="00B8417C"/>
    <w:rsid w:val="00BA3B93"/>
    <w:rsid w:val="00BA7DB6"/>
    <w:rsid w:val="00BA7FA9"/>
    <w:rsid w:val="00BF63E1"/>
    <w:rsid w:val="00C1349A"/>
    <w:rsid w:val="00C408B2"/>
    <w:rsid w:val="00C57EC5"/>
    <w:rsid w:val="00C770F9"/>
    <w:rsid w:val="00CC2C32"/>
    <w:rsid w:val="00CE1242"/>
    <w:rsid w:val="00CF5551"/>
    <w:rsid w:val="00CF6DE5"/>
    <w:rsid w:val="00CF7C6A"/>
    <w:rsid w:val="00D03247"/>
    <w:rsid w:val="00D06225"/>
    <w:rsid w:val="00D242DD"/>
    <w:rsid w:val="00D36243"/>
    <w:rsid w:val="00DB324B"/>
    <w:rsid w:val="00DC026F"/>
    <w:rsid w:val="00DE513C"/>
    <w:rsid w:val="00E06896"/>
    <w:rsid w:val="00E15A2A"/>
    <w:rsid w:val="00E31A80"/>
    <w:rsid w:val="00E37A51"/>
    <w:rsid w:val="00E452A9"/>
    <w:rsid w:val="00E56805"/>
    <w:rsid w:val="00E715AD"/>
    <w:rsid w:val="00EB726C"/>
    <w:rsid w:val="00EF5071"/>
    <w:rsid w:val="00F1414D"/>
    <w:rsid w:val="00F21A21"/>
    <w:rsid w:val="00FB1151"/>
    <w:rsid w:val="00FD4E4B"/>
    <w:rsid w:val="00FE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AF6684"/>
  <w14:defaultImageDpi w14:val="32767"/>
  <w15:chartTrackingRefBased/>
  <w15:docId w15:val="{CC9346D9-C84D-46EA-975D-DAB83D83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uiPriority w:val="1"/>
    <w:qFormat/>
    <w:rsid w:val="0030300D"/>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1"/>
    <w:qFormat/>
    <w:rsid w:val="00353CF2"/>
    <w:pPr>
      <w:ind w:left="860"/>
      <w:outlineLvl w:val="0"/>
    </w:pPr>
    <w:rPr>
      <w:b/>
      <w:bCs/>
      <w:sz w:val="28"/>
      <w:szCs w:val="28"/>
    </w:rPr>
  </w:style>
  <w:style w:type="paragraph" w:styleId="Heading2">
    <w:name w:val="heading 2"/>
    <w:basedOn w:val="Normal"/>
    <w:next w:val="Normal"/>
    <w:link w:val="Heading2Char"/>
    <w:uiPriority w:val="9"/>
    <w:unhideWhenUsed/>
    <w:qFormat/>
    <w:rsid w:val="008C154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B93"/>
    <w:pPr>
      <w:tabs>
        <w:tab w:val="center" w:pos="4680"/>
        <w:tab w:val="right" w:pos="9360"/>
      </w:tabs>
    </w:pPr>
  </w:style>
  <w:style w:type="character" w:customStyle="1" w:styleId="HeaderChar">
    <w:name w:val="Header Char"/>
    <w:basedOn w:val="DefaultParagraphFont"/>
    <w:link w:val="Header"/>
    <w:uiPriority w:val="99"/>
    <w:rsid w:val="00BA3B93"/>
    <w:rPr>
      <w:rFonts w:ascii="Calibri" w:eastAsia="Calibri" w:hAnsi="Calibri" w:cs="Calibri"/>
      <w:sz w:val="22"/>
      <w:szCs w:val="22"/>
    </w:rPr>
  </w:style>
  <w:style w:type="paragraph" w:styleId="Footer">
    <w:name w:val="footer"/>
    <w:basedOn w:val="Normal"/>
    <w:link w:val="FooterChar"/>
    <w:uiPriority w:val="99"/>
    <w:unhideWhenUsed/>
    <w:rsid w:val="00BA3B93"/>
    <w:pPr>
      <w:tabs>
        <w:tab w:val="center" w:pos="4680"/>
        <w:tab w:val="right" w:pos="9360"/>
      </w:tabs>
    </w:pPr>
  </w:style>
  <w:style w:type="character" w:customStyle="1" w:styleId="FooterChar">
    <w:name w:val="Footer Char"/>
    <w:basedOn w:val="DefaultParagraphFont"/>
    <w:link w:val="Footer"/>
    <w:uiPriority w:val="99"/>
    <w:rsid w:val="00BA3B93"/>
    <w:rPr>
      <w:rFonts w:ascii="Calibri" w:eastAsia="Calibri" w:hAnsi="Calibri" w:cs="Calibri"/>
      <w:sz w:val="22"/>
      <w:szCs w:val="22"/>
    </w:rPr>
  </w:style>
  <w:style w:type="character" w:customStyle="1" w:styleId="Heading1Char">
    <w:name w:val="Heading 1 Char"/>
    <w:basedOn w:val="DefaultParagraphFont"/>
    <w:link w:val="Heading1"/>
    <w:uiPriority w:val="1"/>
    <w:rsid w:val="00353CF2"/>
    <w:rPr>
      <w:rFonts w:ascii="Calibri" w:eastAsia="Calibri" w:hAnsi="Calibri" w:cs="Calibri"/>
      <w:b/>
      <w:bCs/>
      <w:sz w:val="28"/>
      <w:szCs w:val="28"/>
    </w:rPr>
  </w:style>
  <w:style w:type="paragraph" w:styleId="BodyText">
    <w:name w:val="Body Text"/>
    <w:basedOn w:val="Normal"/>
    <w:link w:val="BodyTextChar"/>
    <w:uiPriority w:val="1"/>
    <w:qFormat/>
    <w:rsid w:val="00353CF2"/>
    <w:rPr>
      <w:sz w:val="24"/>
      <w:szCs w:val="24"/>
    </w:rPr>
  </w:style>
  <w:style w:type="character" w:customStyle="1" w:styleId="BodyTextChar">
    <w:name w:val="Body Text Char"/>
    <w:basedOn w:val="DefaultParagraphFont"/>
    <w:link w:val="BodyText"/>
    <w:uiPriority w:val="1"/>
    <w:rsid w:val="00353CF2"/>
    <w:rPr>
      <w:rFonts w:ascii="Calibri" w:eastAsia="Calibri" w:hAnsi="Calibri" w:cs="Calibri"/>
    </w:rPr>
  </w:style>
  <w:style w:type="paragraph" w:styleId="ListParagraph">
    <w:name w:val="List Paragraph"/>
    <w:basedOn w:val="Normal"/>
    <w:uiPriority w:val="34"/>
    <w:qFormat/>
    <w:rsid w:val="00353CF2"/>
    <w:pPr>
      <w:ind w:left="1220" w:hanging="360"/>
    </w:pPr>
  </w:style>
  <w:style w:type="paragraph" w:customStyle="1" w:styleId="TableParagraph">
    <w:name w:val="Table Paragraph"/>
    <w:basedOn w:val="Normal"/>
    <w:uiPriority w:val="1"/>
    <w:qFormat/>
    <w:rsid w:val="008C1543"/>
    <w:pPr>
      <w:ind w:left="268"/>
    </w:pPr>
  </w:style>
  <w:style w:type="character" w:styleId="PageNumber">
    <w:name w:val="page number"/>
    <w:basedOn w:val="DefaultParagraphFont"/>
    <w:uiPriority w:val="99"/>
    <w:semiHidden/>
    <w:unhideWhenUsed/>
    <w:rsid w:val="008C1543"/>
  </w:style>
  <w:style w:type="character" w:customStyle="1" w:styleId="Heading2Char">
    <w:name w:val="Heading 2 Char"/>
    <w:basedOn w:val="DefaultParagraphFont"/>
    <w:link w:val="Heading2"/>
    <w:uiPriority w:val="9"/>
    <w:rsid w:val="008C1543"/>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8D4DF6"/>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03178"/>
    <w:rPr>
      <w:color w:val="0000FF"/>
      <w:u w:val="single"/>
    </w:rPr>
  </w:style>
  <w:style w:type="paragraph" w:customStyle="1" w:styleId="Default">
    <w:name w:val="Default"/>
    <w:rsid w:val="008E6B24"/>
    <w:pPr>
      <w:autoSpaceDE w:val="0"/>
      <w:autoSpaceDN w:val="0"/>
      <w:adjustRightInd w:val="0"/>
    </w:pPr>
    <w:rPr>
      <w:rFonts w:ascii="Arial" w:eastAsia="Times New Roman" w:hAnsi="Arial" w:cs="Arial"/>
      <w:color w:val="000000"/>
    </w:rPr>
  </w:style>
  <w:style w:type="paragraph" w:styleId="BodyTextIndent">
    <w:name w:val="Body Text Indent"/>
    <w:basedOn w:val="Normal"/>
    <w:link w:val="BodyTextIndentChar"/>
    <w:uiPriority w:val="99"/>
    <w:semiHidden/>
    <w:unhideWhenUsed/>
    <w:rsid w:val="008E6B24"/>
    <w:pPr>
      <w:spacing w:after="120"/>
      <w:ind w:left="360"/>
    </w:pPr>
  </w:style>
  <w:style w:type="character" w:customStyle="1" w:styleId="BodyTextIndentChar">
    <w:name w:val="Body Text Indent Char"/>
    <w:basedOn w:val="DefaultParagraphFont"/>
    <w:link w:val="BodyTextIndent"/>
    <w:uiPriority w:val="99"/>
    <w:semiHidden/>
    <w:rsid w:val="008E6B24"/>
    <w:rPr>
      <w:rFonts w:ascii="Calibri" w:eastAsia="Calibri" w:hAnsi="Calibri" w:cs="Calibri"/>
      <w:sz w:val="22"/>
      <w:szCs w:val="22"/>
    </w:rPr>
  </w:style>
  <w:style w:type="character" w:styleId="Mention">
    <w:name w:val="Mention"/>
    <w:basedOn w:val="DefaultParagraphFont"/>
    <w:uiPriority w:val="99"/>
    <w:semiHidden/>
    <w:unhideWhenUsed/>
    <w:rsid w:val="0009779E"/>
    <w:rPr>
      <w:color w:val="2B579A"/>
      <w:shd w:val="clear" w:color="auto" w:fill="E6E6E6"/>
    </w:rPr>
  </w:style>
  <w:style w:type="paragraph" w:styleId="BodyTextIndent2">
    <w:name w:val="Body Text Indent 2"/>
    <w:basedOn w:val="Normal"/>
    <w:link w:val="BodyTextIndent2Char"/>
    <w:uiPriority w:val="99"/>
    <w:unhideWhenUsed/>
    <w:rsid w:val="00434CBC"/>
    <w:pPr>
      <w:spacing w:after="120" w:line="480" w:lineRule="auto"/>
      <w:ind w:left="360"/>
    </w:pPr>
  </w:style>
  <w:style w:type="character" w:customStyle="1" w:styleId="BodyTextIndent2Char">
    <w:name w:val="Body Text Indent 2 Char"/>
    <w:basedOn w:val="DefaultParagraphFont"/>
    <w:link w:val="BodyTextIndent2"/>
    <w:uiPriority w:val="99"/>
    <w:rsid w:val="00434CBC"/>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tereycountywdb.org/polic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575F6-D5A0-421D-89B9-DB8E3D21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Lass</dc:creator>
  <cp:keywords/>
  <dc:description/>
  <cp:lastModifiedBy>Kor, Vanessa x6412</cp:lastModifiedBy>
  <cp:revision>27</cp:revision>
  <cp:lastPrinted>2018-02-08T19:02:00Z</cp:lastPrinted>
  <dcterms:created xsi:type="dcterms:W3CDTF">2019-02-14T19:03:00Z</dcterms:created>
  <dcterms:modified xsi:type="dcterms:W3CDTF">2019-02-28T22:53:00Z</dcterms:modified>
</cp:coreProperties>
</file>